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highlight w:val="none"/>
        </w:rPr>
      </w:pPr>
      <w:r/>
      <w:bookmarkStart w:id="155" w:name="_GoBack"/>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60"/>
          <w:szCs w:val="60"/>
          <w:highlight w:val="none"/>
        </w:rPr>
      </w:pPr>
      <w:r/>
      <w:bookmarkStart w:id="0" w:name="OLE_LINK1"/>
      <w:r/>
      <w:bookmarkStart w:id="1" w:name="OLE_LINK2"/>
      <w:r>
        <w:rPr>
          <w:rFonts w:hint="eastAsia" w:ascii="宋体" w:hAnsi="宋体" w:eastAsia="宋体" w:cs="宋体"/>
          <w:color w:val="auto"/>
          <w:sz w:val="60"/>
          <w:szCs w:val="60"/>
          <w:highlight w:val="none"/>
        </w:rPr>
        <w:t xml:space="preserve">泰州市政府采购项目</w:t>
      </w:r>
      <w:bookmarkEnd w:id="0"/>
      <w:r/>
      <w:bookmarkEnd w:id="1"/>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6"/>
          <w:szCs w:val="36"/>
          <w:highlight w:val="none"/>
        </w:rPr>
      </w:pPr>
      <w:r/>
      <w:bookmarkStart w:id="2" w:name="_Toc28993"/>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jc w:val="center"/>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t xml:space="preserve">竞争性磋商文件</w:t>
      </w:r>
      <w:bookmarkEnd w:id="2"/>
      <w:r/>
      <w:r/>
    </w:p>
    <w:p>
      <w:pPr>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（全流程电子化不见面开标）</w:t>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both"/>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88"/>
        <w:ind w:firstLine="0"/>
        <w:jc w:val="center"/>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采购项目编号</w:t>
      </w:r>
      <w:r>
        <w:rPr>
          <w:rFonts w:hint="eastAsia" w:ascii="宋体" w:hAnsi="宋体" w:eastAsia="宋体" w:cs="宋体"/>
          <w:color w:val="auto"/>
          <w:sz w:val="30"/>
          <w:szCs w:val="30"/>
          <w:highlight w:val="none"/>
          <w:lang w:eastAsia="zh-CN"/>
        </w:rPr>
        <w:t xml:space="preserve">：JSZC-321202-JTTZ-C2026-0007</w:t>
      </w:r>
      <w:r/>
    </w:p>
    <w:p>
      <w:pPr>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采购项目名称：</w:t>
      </w:r>
      <w:bookmarkStart w:id="3" w:name="OLE_LINK3"/>
      <w:r>
        <w:rPr>
          <w:rFonts w:hint="eastAsia" w:ascii="宋体" w:hAnsi="宋体" w:eastAsia="宋体" w:cs="宋体"/>
          <w:color w:val="auto"/>
          <w:sz w:val="30"/>
          <w:szCs w:val="30"/>
          <w:highlight w:val="none"/>
          <w:lang w:eastAsia="zh-CN"/>
        </w:rPr>
        <w:t xml:space="preserve">九龙镇道路保洁、垃圾收集服务项目</w:t>
      </w:r>
      <w:bookmarkEnd w:id="3"/>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采 购 单 位：泰州市九龙镇人民政府</w:t>
      </w:r>
      <w:r/>
    </w:p>
    <w:p>
      <w:pPr>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采购代理机构：</w:t>
      </w:r>
      <w:r>
        <w:rPr>
          <w:rFonts w:hint="eastAsia" w:ascii="宋体" w:hAnsi="宋体" w:eastAsia="宋体" w:cs="宋体"/>
          <w:color w:val="auto"/>
          <w:sz w:val="30"/>
          <w:szCs w:val="30"/>
          <w:highlight w:val="none"/>
          <w:lang w:eastAsia="zh-CN"/>
        </w:rPr>
        <w:t xml:space="preserve">江苏建泰工程项目管理有限公司</w:t>
      </w:r>
      <w:r/>
    </w:p>
    <w:p>
      <w:pPr>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202</w:t>
      </w:r>
      <w:r>
        <w:rPr>
          <w:rFonts w:hint="eastAsia" w:ascii="宋体" w:hAnsi="宋体" w:eastAsia="宋体" w:cs="宋体"/>
          <w:color w:val="auto"/>
          <w:sz w:val="30"/>
          <w:szCs w:val="30"/>
          <w:highlight w:val="none"/>
          <w:lang w:val="en-US" w:eastAsia="zh-CN"/>
        </w:rPr>
        <w:t xml:space="preserve">6</w:t>
      </w:r>
      <w:r>
        <w:rPr>
          <w:rFonts w:hint="eastAsia" w:ascii="宋体" w:hAnsi="宋体" w:eastAsia="宋体" w:cs="宋体"/>
          <w:color w:val="auto"/>
          <w:sz w:val="30"/>
          <w:szCs w:val="30"/>
          <w:highlight w:val="none"/>
        </w:rPr>
        <w:t xml:space="preserve">年</w:t>
      </w:r>
      <w:r>
        <w:rPr>
          <w:rFonts w:hint="eastAsia" w:ascii="宋体" w:hAnsi="宋体" w:eastAsia="宋体" w:cs="宋体"/>
          <w:color w:val="auto"/>
          <w:sz w:val="30"/>
          <w:szCs w:val="30"/>
          <w:highlight w:val="none"/>
          <w:lang w:val="en-US" w:eastAsia="zh-CN"/>
        </w:rPr>
        <w:t xml:space="preserve">5</w:t>
      </w:r>
      <w:r>
        <w:rPr>
          <w:rFonts w:hint="eastAsia" w:ascii="宋体" w:hAnsi="宋体" w:eastAsia="宋体" w:cs="宋体"/>
          <w:color w:val="auto"/>
          <w:sz w:val="30"/>
          <w:szCs w:val="30"/>
          <w:highlight w:val="none"/>
        </w:rPr>
        <w:t xml:space="preserve">月</w:t>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目  录</w:t>
      </w:r>
      <w:r/>
    </w:p>
    <w:p>
      <w:pPr>
        <w:pStyle w:val="885"/>
        <w:ind w:firstLine="6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第一章  竞争性磋商采购公告</w:t>
      </w:r>
      <w:r/>
    </w:p>
    <w:p>
      <w:pPr>
        <w:pStyle w:val="885"/>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第二章  参加磋商供应商须知</w:t>
      </w:r>
      <w:r/>
    </w:p>
    <w:p>
      <w:pPr>
        <w:pStyle w:val="885"/>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第三章  合同条款及格式</w:t>
      </w:r>
      <w:r/>
    </w:p>
    <w:p>
      <w:pPr>
        <w:pStyle w:val="885"/>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第四章  项目需求</w:t>
      </w:r>
      <w:r/>
    </w:p>
    <w:p>
      <w:pPr>
        <w:pStyle w:val="885"/>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第五章  评审方法和评审标准</w:t>
      </w:r>
      <w:r/>
    </w:p>
    <w:p>
      <w:pPr>
        <w:pStyle w:val="885"/>
        <w:ind w:firstLine="64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第六章  响应文件的组成和格式</w:t>
      </w:r>
      <w:r/>
    </w:p>
    <w:p>
      <w:pPr>
        <w:pStyle w:val="868"/>
        <w:keepNext w:val="0"/>
        <w:rPr>
          <w:rFonts w:hint="eastAsia" w:ascii="宋体" w:hAnsi="宋体" w:eastAsia="宋体" w:cs="宋体"/>
          <w:color w:val="auto"/>
          <w:sz w:val="32"/>
          <w:szCs w:val="32"/>
          <w:highlight w:val="none"/>
        </w:rPr>
        <w:sectPr>
          <w:footnotePr/>
          <w:endnotePr/>
          <w:type w:val="nextPage"/>
          <w:pgSz w:w="11906" w:h="16838" w:orient="portrait"/>
          <w:pgMar w:top="1440" w:right="1179" w:bottom="1440" w:left="1576" w:header="851" w:footer="992" w:gutter="0"/>
          <w:cols w:num="1" w:sep="0" w:space="720" w:equalWidth="1"/>
          <w:docGrid w:linePitch="360"/>
        </w:sectPr>
      </w:pPr>
      <w:r/>
      <w:bookmarkStart w:id="4" w:name="_Toc32147"/>
      <w:r/>
      <w:bookmarkStart w:id="5" w:name="_Toc24405"/>
      <w:r/>
      <w:r/>
    </w:p>
    <w:p>
      <w:pPr>
        <w:pStyle w:val="868"/>
        <w:jc w:val="center"/>
        <w:keepNext w:val="0"/>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第一章 竞争性磋商</w:t>
      </w:r>
      <w:bookmarkStart w:id="6" w:name="二．报价方须知"/>
      <w:r/>
      <w:bookmarkEnd w:id="6"/>
      <w:r>
        <w:rPr>
          <w:rFonts w:hint="eastAsia" w:ascii="黑体" w:hAnsi="黑体" w:eastAsia="黑体" w:cs="黑体"/>
          <w:color w:val="auto"/>
          <w:sz w:val="32"/>
          <w:szCs w:val="32"/>
          <w:highlight w:val="none"/>
        </w:rPr>
        <w:t xml:space="preserve">采购公告</w:t>
      </w:r>
      <w:bookmarkEnd w:id="4"/>
      <w:r/>
      <w:bookmarkEnd w:id="5"/>
      <w:r/>
      <w:r/>
    </w:p>
    <w:p>
      <w:pPr>
        <w:keepLines w:val="0"/>
        <w:keepNext w:val="0"/>
        <w:pageBreakBefore w:val="0"/>
        <w:spacing w:line="520" w:lineRule="exact"/>
        <w:widowControl w:val="off"/>
        <w:rPr>
          <w:rFonts w:hint="eastAsia" w:ascii="宋体" w:hAnsi="宋体" w:eastAsia="宋体" w:cs="宋体"/>
          <w:color w:val="auto"/>
          <w:sz w:val="21"/>
          <w:szCs w:val="21"/>
          <w:highlight w:val="none"/>
        </w:rPr>
        <w:pBdr>
          <w:top w:val="single" w:color="000000" w:sz="4" w:space="0"/>
          <w:left w:val="single" w:color="000000" w:sz="4" w:space="0"/>
          <w:bottom w:val="single" w:color="000000" w:sz="4" w:space="0"/>
          <w:right w:val="single" w:color="000000" w:sz="4" w:space="0"/>
        </w:pBdr>
      </w:pPr>
      <w:r/>
      <w:bookmarkStart w:id="7" w:name="_Toc35393629"/>
      <w:r/>
      <w:bookmarkStart w:id="8" w:name="_Toc35393798"/>
      <w:r/>
      <w:bookmarkStart w:id="9" w:name="_Toc28359012"/>
      <w:r/>
      <w:bookmarkStart w:id="10" w:name="_Toc28359089"/>
      <w:r>
        <w:rPr>
          <w:rFonts w:hint="eastAsia" w:ascii="宋体" w:hAnsi="宋体" w:eastAsia="宋体" w:cs="宋体"/>
          <w:b/>
          <w:bCs/>
          <w:color w:val="auto"/>
          <w:sz w:val="21"/>
          <w:szCs w:val="21"/>
          <w:highlight w:val="none"/>
        </w:rPr>
        <w:t xml:space="preserve">项目概况</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1"/>
          <w:szCs w:val="21"/>
          <w:highlight w:val="none"/>
          <w:u w:val="single"/>
        </w:rPr>
        <w:t xml:space="preserve">九龙镇道路保洁、垃圾收集服务项目</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的潜在供应商可在</w:t>
      </w:r>
      <w:r>
        <w:rPr>
          <w:rFonts w:hint="eastAsia" w:ascii="宋体" w:hAnsi="宋体" w:eastAsia="宋体" w:cs="宋体"/>
          <w:color w:val="auto"/>
          <w:sz w:val="21"/>
          <w:szCs w:val="21"/>
          <w:highlight w:val="none"/>
          <w:u w:val="single"/>
        </w:rPr>
        <w:t xml:space="preserve">江苏政府采购“苏采云”系统</w:t>
      </w:r>
      <w:r>
        <w:rPr>
          <w:rFonts w:hint="eastAsia" w:ascii="宋体" w:hAnsi="宋体" w:eastAsia="宋体" w:cs="宋体"/>
          <w:color w:val="auto"/>
          <w:sz w:val="21"/>
          <w:szCs w:val="21"/>
          <w:highlight w:val="none"/>
        </w:rPr>
        <w:t xml:space="preserve">自行免费下载磋商文件，并于</w:t>
      </w:r>
      <w:r>
        <w:rPr>
          <w:rFonts w:hint="eastAsia" w:ascii="宋体" w:hAnsi="宋体" w:eastAsia="宋体" w:cs="宋体"/>
          <w:color w:val="auto"/>
          <w:sz w:val="21"/>
          <w:szCs w:val="21"/>
          <w:highlight w:val="none"/>
          <w:u w:val="single"/>
        </w:rPr>
        <w:t xml:space="preserve">202</w:t>
      </w:r>
      <w:r>
        <w:rPr>
          <w:rFonts w:hint="eastAsia" w:ascii="宋体" w:hAnsi="宋体" w:eastAsia="宋体" w:cs="宋体"/>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年</w:t>
      </w:r>
      <w:r>
        <w:rPr>
          <w:rFonts w:hint="eastAsia" w:ascii="宋体" w:hAnsi="宋体" w:cs="宋体"/>
          <w:bCs/>
          <w:color w:val="auto"/>
          <w:sz w:val="21"/>
          <w:szCs w:val="21"/>
          <w:highlight w:val="none"/>
          <w:u w:val="single"/>
          <w:lang w:val="en-US" w:eastAsia="zh-CN"/>
        </w:rPr>
        <w:t xml:space="preserve">6</w:t>
      </w:r>
      <w:r>
        <w:rPr>
          <w:rFonts w:hint="eastAsia" w:ascii="宋体" w:hAnsi="宋体" w:eastAsia="宋体" w:cs="宋体"/>
          <w:bCs/>
          <w:color w:val="auto"/>
          <w:sz w:val="21"/>
          <w:szCs w:val="21"/>
          <w:highlight w:val="none"/>
          <w:u w:val="single"/>
        </w:rPr>
        <w:t xml:space="preserve">月</w:t>
      </w:r>
      <w:r>
        <w:rPr>
          <w:rFonts w:hint="eastAsia" w:ascii="宋体" w:hAnsi="宋体" w:cs="宋体"/>
          <w:bCs/>
          <w:color w:val="auto"/>
          <w:sz w:val="21"/>
          <w:szCs w:val="21"/>
          <w:highlight w:val="none"/>
          <w:u w:val="single"/>
          <w:lang w:val="en-US" w:eastAsia="zh-CN"/>
        </w:rPr>
        <w:t xml:space="preserve">9</w:t>
      </w:r>
      <w:r>
        <w:rPr>
          <w:rFonts w:hint="eastAsia" w:ascii="宋体" w:hAnsi="宋体" w:eastAsia="宋体" w:cs="宋体"/>
          <w:bCs/>
          <w:color w:val="auto"/>
          <w:sz w:val="21"/>
          <w:szCs w:val="21"/>
          <w:highlight w:val="none"/>
          <w:u w:val="single"/>
        </w:rPr>
        <w:t xml:space="preserve">日</w:t>
      </w:r>
      <w:r>
        <w:rPr>
          <w:rFonts w:hint="eastAsia" w:ascii="宋体" w:hAnsi="宋体" w:cs="宋体"/>
          <w:bCs/>
          <w:color w:val="auto"/>
          <w:sz w:val="21"/>
          <w:szCs w:val="21"/>
          <w:highlight w:val="none"/>
          <w:u w:val="single"/>
          <w:lang w:val="en-US" w:eastAsia="zh-CN"/>
        </w:rPr>
        <w:t xml:space="preserve">14</w:t>
      </w:r>
      <w:r>
        <w:rPr>
          <w:rFonts w:hint="eastAsia" w:ascii="宋体" w:hAnsi="宋体" w:eastAsia="宋体" w:cs="宋体"/>
          <w:bCs/>
          <w:color w:val="auto"/>
          <w:sz w:val="21"/>
          <w:szCs w:val="21"/>
          <w:highlight w:val="none"/>
          <w:u w:val="single"/>
        </w:rPr>
        <w:t xml:space="preserve">点</w:t>
      </w:r>
      <w:r>
        <w:rPr>
          <w:rFonts w:hint="eastAsia" w:ascii="宋体" w:hAnsi="宋体" w:cs="宋体"/>
          <w:bCs/>
          <w:color w:val="auto"/>
          <w:sz w:val="21"/>
          <w:szCs w:val="21"/>
          <w:highlight w:val="none"/>
          <w:u w:val="single"/>
          <w:lang w:val="en-US" w:eastAsia="zh-CN"/>
        </w:rPr>
        <w:t xml:space="preserve">0</w:t>
      </w:r>
      <w:r>
        <w:rPr>
          <w:rFonts w:hint="eastAsia" w:ascii="宋体" w:hAnsi="宋体" w:eastAsia="宋体" w:cs="宋体"/>
          <w:bCs/>
          <w:color w:val="auto"/>
          <w:sz w:val="21"/>
          <w:szCs w:val="21"/>
          <w:highlight w:val="none"/>
          <w:u w:val="single"/>
        </w:rPr>
        <w:t xml:space="preserve">0分</w:t>
      </w:r>
      <w:r>
        <w:rPr>
          <w:rFonts w:hint="eastAsia" w:ascii="宋体" w:hAnsi="宋体" w:eastAsia="宋体" w:cs="宋体"/>
          <w:bCs/>
          <w:color w:val="auto"/>
          <w:sz w:val="21"/>
          <w:szCs w:val="21"/>
          <w:highlight w:val="none"/>
        </w:rPr>
        <w:t xml:space="preserve">（北京时间）前提交响应文件</w:t>
      </w:r>
      <w:r>
        <w:rPr>
          <w:rFonts w:hint="eastAsia" w:ascii="宋体" w:hAnsi="宋体" w:eastAsia="宋体" w:cs="宋体"/>
          <w:color w:val="auto"/>
          <w:sz w:val="21"/>
          <w:szCs w:val="21"/>
          <w:highlight w:val="none"/>
        </w:rPr>
        <w:t xml:space="preserve">。</w:t>
      </w:r>
      <w:r/>
    </w:p>
    <w:p>
      <w:pPr>
        <w:ind w:firstLine="422"/>
        <w:jc w:val="both"/>
        <w:keepLines w:val="0"/>
        <w:keepNext w:val="0"/>
        <w:pageBreakBefore w:val="0"/>
        <w:spacing w:line="52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一、项目基本情况</w:t>
      </w:r>
      <w:bookmarkEnd w:id="7"/>
      <w:r/>
      <w:bookmarkEnd w:id="8"/>
      <w:r/>
      <w:bookmarkEnd w:id="9"/>
      <w:r/>
      <w:bookmarkEnd w:id="10"/>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项目编号：JSZC-321202-JTTZ-C2026-0007</w:t>
      </w:r>
      <w:r>
        <w:rPr>
          <w:rFonts w:hint="eastAsia" w:ascii="宋体" w:hAnsi="宋体" w:eastAsia="宋体" w:cs="宋体"/>
          <w:color w:val="auto"/>
          <w:sz w:val="21"/>
          <w:szCs w:val="21"/>
          <w:highlight w:val="none"/>
          <w:lang w:val="en-US" w:eastAsia="zh-CN"/>
        </w:rPr>
        <w:t xml:space="preserve"> </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九龙镇道路保洁、垃圾收集服务项目</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采购方式：竞争性磋商</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预算金额：</w:t>
      </w:r>
      <w:r>
        <w:rPr>
          <w:rFonts w:hint="eastAsia" w:ascii="宋体" w:hAnsi="宋体" w:eastAsia="宋体" w:cs="宋体"/>
          <w:color w:val="auto"/>
          <w:sz w:val="21"/>
          <w:szCs w:val="21"/>
          <w:highlight w:val="none"/>
          <w:lang w:val="en-US" w:eastAsia="zh-CN"/>
        </w:rPr>
        <w:t xml:space="preserve">273.9</w:t>
      </w:r>
      <w:r>
        <w:rPr>
          <w:rFonts w:hint="eastAsia" w:ascii="宋体" w:hAnsi="宋体" w:eastAsia="宋体" w:cs="宋体"/>
          <w:color w:val="auto"/>
          <w:sz w:val="21"/>
          <w:szCs w:val="21"/>
          <w:highlight w:val="none"/>
        </w:rPr>
        <w:t xml:space="preserve">万元</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w:t>
      </w:r>
      <w:r>
        <w:rPr>
          <w:rFonts w:hint="eastAsia" w:ascii="宋体" w:hAnsi="宋体" w:eastAsia="宋体" w:cs="宋体"/>
          <w:color w:val="auto"/>
          <w:sz w:val="21"/>
          <w:szCs w:val="21"/>
          <w:highlight w:val="none"/>
          <w:lang w:val="en-US" w:eastAsia="zh-CN"/>
        </w:rPr>
        <w:t xml:space="preserve">273.9万元（</w:t>
      </w:r>
      <w:r>
        <w:rPr>
          <w:rFonts w:hint="eastAsia" w:ascii="宋体" w:hAnsi="宋体" w:eastAsia="宋体" w:cs="宋体"/>
          <w:color w:val="auto"/>
          <w:sz w:val="21"/>
          <w:szCs w:val="21"/>
          <w:highlight w:val="none"/>
        </w:rPr>
        <w:t xml:space="preserve">采购包1：</w:t>
      </w:r>
      <w:r>
        <w:rPr>
          <w:rFonts w:hint="eastAsia" w:ascii="宋体" w:hAnsi="宋体" w:eastAsia="宋体" w:cs="宋体"/>
          <w:color w:val="auto"/>
          <w:sz w:val="21"/>
          <w:szCs w:val="21"/>
          <w:highlight w:val="none"/>
          <w:lang w:val="en-US" w:eastAsia="zh-CN"/>
        </w:rPr>
        <w:t xml:space="preserve">170</w:t>
      </w:r>
      <w:r>
        <w:rPr>
          <w:rFonts w:hint="eastAsia" w:ascii="宋体" w:hAnsi="宋体" w:eastAsia="宋体" w:cs="宋体"/>
          <w:color w:val="auto"/>
          <w:sz w:val="21"/>
          <w:szCs w:val="21"/>
          <w:highlight w:val="none"/>
        </w:rPr>
        <w:t xml:space="preserve">万元；采购包2：</w:t>
      </w:r>
      <w:r>
        <w:rPr>
          <w:rFonts w:hint="eastAsia" w:ascii="宋体" w:hAnsi="宋体" w:eastAsia="宋体" w:cs="宋体"/>
          <w:color w:val="auto"/>
          <w:sz w:val="21"/>
          <w:szCs w:val="21"/>
          <w:highlight w:val="none"/>
          <w:lang w:val="en-US" w:eastAsia="zh-CN"/>
        </w:rPr>
        <w:t xml:space="preserve">103.9</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响应报价不得超过采购项目最高限价金额，否则按无效响应处理；</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采购需求：</w:t>
      </w:r>
      <w:r>
        <w:rPr>
          <w:rFonts w:hint="eastAsia" w:ascii="宋体" w:hAnsi="宋体" w:eastAsia="宋体" w:cs="宋体"/>
          <w:color w:val="auto"/>
          <w:sz w:val="21"/>
          <w:szCs w:val="21"/>
          <w:highlight w:val="none"/>
          <w:lang w:val="en-US" w:eastAsia="zh-CN"/>
        </w:rPr>
        <w:t xml:space="preserve">对镇区、园区道路进行保洁及垃圾收集管护工作，该项目共划分为两个采购包：采购包1为328国道（含）北侧区域的道路保洁、垃圾收集服务；采购包2为328国道（不含）南侧区域的道路保洁、垃圾收集服务。具体要求详见第四章项目需求。</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可同时参加两个包的投标，但只能中其中一个包。开标、评标、定标按采购包1、采购包2的顺序进行。如供应商在前一个采购包被磋商小组推荐为第一成交候选供应商的，可继续参与下一个采购包的评审，但不参与成交候选供应商的推荐，以此类推。</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合同履行期限：</w:t>
      </w:r>
      <w:r>
        <w:rPr>
          <w:rFonts w:hint="eastAsia" w:ascii="宋体" w:hAnsi="宋体" w:eastAsia="宋体" w:cs="宋体"/>
          <w:color w:val="auto"/>
          <w:sz w:val="21"/>
          <w:szCs w:val="21"/>
          <w:highlight w:val="none"/>
          <w:lang w:val="en-US" w:eastAsia="zh-CN"/>
        </w:rPr>
        <w:t xml:space="preserve">一年</w:t>
      </w:r>
      <w:r>
        <w:rPr>
          <w:rFonts w:hint="eastAsia" w:ascii="宋体" w:hAnsi="宋体" w:eastAsia="宋体" w:cs="宋体"/>
          <w:color w:val="auto"/>
          <w:sz w:val="21"/>
          <w:szCs w:val="21"/>
          <w:highlight w:val="none"/>
        </w:rPr>
        <w:t xml:space="preserve">。</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本项目（是/否）接受联合体：</w:t>
      </w:r>
      <w:r>
        <w:rPr>
          <w:rFonts w:hint="eastAsia" w:ascii="宋体" w:hAnsi="宋体" w:eastAsia="宋体" w:cs="宋体"/>
          <w:color w:val="auto"/>
          <w:sz w:val="21"/>
          <w:szCs w:val="21"/>
          <w:highlight w:val="none"/>
          <w:lang w:val="en-US" w:eastAsia="zh-CN"/>
        </w:rPr>
        <w:t xml:space="preserve">否</w:t>
      </w:r>
      <w:r>
        <w:rPr>
          <w:rFonts w:hint="eastAsia" w:ascii="宋体" w:hAnsi="宋体" w:eastAsia="宋体" w:cs="宋体"/>
          <w:color w:val="auto"/>
          <w:sz w:val="21"/>
          <w:szCs w:val="21"/>
          <w:highlight w:val="none"/>
        </w:rPr>
        <w:t xml:space="preserve">。</w:t>
      </w:r>
      <w:r/>
    </w:p>
    <w:p>
      <w:pPr>
        <w:ind w:firstLine="422"/>
        <w:jc w:val="both"/>
        <w:keepLines w:val="0"/>
        <w:keepNext w:val="0"/>
        <w:pageBreakBefore w:val="0"/>
        <w:spacing w:line="520" w:lineRule="exact"/>
        <w:widowControl w:val="off"/>
        <w:rPr>
          <w:rFonts w:hint="eastAsia" w:ascii="宋体" w:hAnsi="宋体" w:eastAsia="宋体" w:cs="宋体"/>
          <w:b/>
          <w:color w:val="auto"/>
          <w:sz w:val="21"/>
          <w:szCs w:val="21"/>
          <w:highlight w:val="none"/>
        </w:rPr>
      </w:pPr>
      <w:r/>
      <w:bookmarkStart w:id="11" w:name="_Toc35393799"/>
      <w:r/>
      <w:bookmarkStart w:id="12" w:name="_Toc28359090"/>
      <w:r/>
      <w:bookmarkStart w:id="13" w:name="_Toc35393630"/>
      <w:r/>
      <w:bookmarkStart w:id="14" w:name="_Toc28359013"/>
      <w:r>
        <w:rPr>
          <w:rFonts w:hint="eastAsia" w:ascii="宋体" w:hAnsi="宋体" w:eastAsia="宋体" w:cs="宋体"/>
          <w:b/>
          <w:color w:val="auto"/>
          <w:sz w:val="21"/>
          <w:szCs w:val="21"/>
          <w:highlight w:val="none"/>
        </w:rPr>
        <w:t xml:space="preserve">二、申请人的资格要求</w:t>
      </w:r>
      <w:bookmarkEnd w:id="11"/>
      <w:r/>
      <w:bookmarkEnd w:id="12"/>
      <w:r/>
      <w:bookmarkEnd w:id="13"/>
      <w:r/>
      <w:bookmarkEnd w:id="14"/>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bookmarkStart w:id="15" w:name="_Toc28359014"/>
      <w:r/>
      <w:bookmarkStart w:id="16" w:name="_Toc28359091"/>
      <w:r/>
      <w:bookmarkStart w:id="17" w:name="_Toc35393800"/>
      <w:r/>
      <w:bookmarkStart w:id="18" w:name="_Toc35393631"/>
      <w:r>
        <w:rPr>
          <w:rFonts w:hint="eastAsia" w:ascii="宋体" w:hAnsi="宋体" w:eastAsia="宋体" w:cs="宋体"/>
          <w:color w:val="auto"/>
          <w:sz w:val="21"/>
          <w:szCs w:val="21"/>
          <w:highlight w:val="none"/>
        </w:rPr>
        <w:t xml:space="preserve">（一）满足《中华人民共和国政府采购法》第二十二条规定：</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3.具有履行合同所必需的设备和专业技术能力；</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4.有依法缴纳税收和社会保障资金的良好记录；</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6.法律、行政法规规定的其他条件。</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（二）落实政府采购政策需满足的资格要求：本项目专门面向中小微企业，供应商应为</w:t>
      </w:r>
      <w:bookmarkStart w:id="19" w:name="OLE_LINK15"/>
      <w:r/>
      <w:bookmarkStart w:id="20" w:name="OLE_LINK16"/>
      <w:r>
        <w:rPr>
          <w:rFonts w:hint="eastAsia" w:ascii="宋体" w:hAnsi="宋体" w:eastAsia="宋体" w:cs="宋体"/>
          <w:color w:val="auto"/>
          <w:sz w:val="21"/>
          <w:szCs w:val="21"/>
          <w:highlight w:val="none"/>
        </w:rPr>
        <w:t xml:space="preserve">中</w:t>
      </w:r>
      <w:bookmarkStart w:id="21" w:name="OLE_LINK14"/>
      <w:r>
        <w:rPr>
          <w:rFonts w:hint="eastAsia" w:ascii="宋体" w:hAnsi="宋体" w:eastAsia="宋体" w:cs="宋体"/>
          <w:color w:val="auto"/>
          <w:sz w:val="21"/>
          <w:szCs w:val="21"/>
          <w:highlight w:val="none"/>
        </w:rPr>
        <w:t xml:space="preserve">小微</w:t>
      </w:r>
      <w:bookmarkEnd w:id="19"/>
      <w:r/>
      <w:bookmarkEnd w:id="20"/>
      <w:r/>
      <w:bookmarkEnd w:id="21"/>
      <w:r>
        <w:rPr>
          <w:rFonts w:hint="eastAsia" w:ascii="宋体" w:hAnsi="宋体" w:eastAsia="宋体" w:cs="宋体"/>
          <w:color w:val="auto"/>
          <w:sz w:val="21"/>
          <w:szCs w:val="21"/>
          <w:highlight w:val="none"/>
        </w:rPr>
        <w:t xml:space="preserve">企业、监狱企业、残疾人福利性单位</w:t>
      </w:r>
      <w:bookmarkStart w:id="22" w:name="OLE_LINK11"/>
      <w:r/>
      <w:bookmarkStart w:id="23" w:name="OLE_LINK12"/>
      <w:r>
        <w:rPr>
          <w:rFonts w:hint="eastAsia" w:ascii="宋体" w:hAnsi="宋体" w:eastAsia="宋体" w:cs="宋体"/>
          <w:color w:val="auto"/>
          <w:sz w:val="21"/>
          <w:szCs w:val="21"/>
          <w:highlight w:val="none"/>
        </w:rPr>
        <w:t xml:space="preserve">之一</w:t>
      </w:r>
      <w:bookmarkEnd w:id="22"/>
      <w:r/>
      <w:bookmarkEnd w:id="23"/>
      <w:r>
        <w:rPr>
          <w:rFonts w:hint="eastAsia" w:ascii="宋体" w:hAnsi="宋体" w:eastAsia="宋体" w:cs="宋体"/>
          <w:color w:val="auto"/>
          <w:sz w:val="21"/>
          <w:szCs w:val="21"/>
          <w:highlight w:val="none"/>
        </w:rPr>
        <w:t xml:space="preserve">。</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（三）本项目的特定资格要求：</w:t>
      </w:r>
      <w:r>
        <w:rPr>
          <w:rFonts w:hint="eastAsia" w:ascii="宋体" w:hAnsi="宋体" w:eastAsia="宋体" w:cs="宋体"/>
          <w:color w:val="auto"/>
          <w:sz w:val="21"/>
          <w:szCs w:val="21"/>
          <w:highlight w:val="none"/>
          <w:lang w:val="en-US" w:eastAsia="zh-CN"/>
        </w:rPr>
        <w:t xml:space="preserve">无</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（四）其他要求：</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.供应商未被“信用中国”网站（www.creditchina.gov.cn）列入失信被执行人、重大税收违法</w:t>
      </w:r>
      <w:r>
        <w:rPr>
          <w:rFonts w:hint="eastAsia" w:ascii="宋体" w:hAnsi="宋体" w:cs="宋体"/>
          <w:color w:val="auto"/>
          <w:sz w:val="21"/>
          <w:szCs w:val="21"/>
          <w:highlight w:val="none"/>
          <w:lang w:val="en-US" w:eastAsia="zh-CN"/>
        </w:rPr>
        <w:t xml:space="preserve">失信主体</w:t>
      </w:r>
      <w:r>
        <w:rPr>
          <w:rFonts w:hint="eastAsia" w:ascii="宋体" w:hAnsi="宋体" w:eastAsia="宋体" w:cs="宋体"/>
          <w:color w:val="auto"/>
          <w:sz w:val="21"/>
          <w:szCs w:val="21"/>
          <w:highlight w:val="none"/>
        </w:rPr>
        <w:t xml:space="preserve">、政府采购严重失信行为记录名单；</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.供应商单位负责人为同一人或者存在直接控股、管理关系的不同供应商，不得参加同一合同项下的采购活动</w:t>
      </w:r>
      <w:r>
        <w:rPr>
          <w:rFonts w:hint="eastAsia" w:ascii="宋体" w:hAnsi="宋体" w:eastAsia="宋体" w:cs="宋体"/>
          <w:color w:val="auto"/>
          <w:sz w:val="21"/>
          <w:szCs w:val="21"/>
          <w:highlight w:val="none"/>
          <w:lang w:eastAsia="zh-CN"/>
        </w:rPr>
        <w:t xml:space="preserve">。</w:t>
      </w:r>
      <w:r/>
    </w:p>
    <w:p>
      <w:pPr>
        <w:ind w:firstLine="422"/>
        <w:jc w:val="both"/>
        <w:keepLines w:val="0"/>
        <w:keepNext w:val="0"/>
        <w:pageBreakBefore w:val="0"/>
        <w:spacing w:line="52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三、获取采购文件</w:t>
      </w:r>
      <w:bookmarkEnd w:id="15"/>
      <w:r/>
      <w:bookmarkEnd w:id="16"/>
      <w:r/>
      <w:bookmarkEnd w:id="17"/>
      <w:r/>
      <w:bookmarkEnd w:id="18"/>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w:t>
      </w:r>
      <w:bookmarkStart w:id="24" w:name="_Toc35393801"/>
      <w:r/>
      <w:bookmarkStart w:id="25" w:name="_Toc35393632"/>
      <w:r/>
      <w:bookmarkStart w:id="26" w:name="_Toc28359092"/>
      <w:r/>
      <w:bookmarkStart w:id="27" w:name="_Toc28359015"/>
      <w:r>
        <w:rPr>
          <w:rFonts w:hint="eastAsia" w:ascii="宋体" w:hAnsi="宋体" w:cs="宋体"/>
          <w:color w:val="auto"/>
          <w:sz w:val="21"/>
          <w:szCs w:val="21"/>
          <w:highlight w:val="none"/>
          <w:lang w:val="en-US" w:eastAsia="zh-CN"/>
        </w:rPr>
        <w:t xml:space="preserve">2026年5月27日0：00-6月3日0：00</w:t>
      </w:r>
      <w:r>
        <w:rPr>
          <w:rFonts w:hint="eastAsia" w:ascii="宋体" w:hAnsi="宋体" w:eastAsia="宋体" w:cs="宋体"/>
          <w:color w:val="auto"/>
          <w:sz w:val="21"/>
          <w:szCs w:val="21"/>
          <w:highlight w:val="none"/>
        </w:rPr>
        <w:t xml:space="preserve">；</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地点：江苏政府采购“苏采云”系统；</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方式：供应商完成注册并办理CA证书后登录“苏采云”政府采购一体化平台，选择本项目点击“我要参与”并下载本项目采购文件；</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售价：0.00元。</w:t>
      </w:r>
      <w:r/>
    </w:p>
    <w:p>
      <w:pPr>
        <w:ind w:firstLine="422"/>
        <w:jc w:val="both"/>
        <w:keepLines w:val="0"/>
        <w:keepNext w:val="0"/>
        <w:pageBreakBefore w:val="0"/>
        <w:spacing w:line="520" w:lineRule="exact"/>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四、响应文件提交</w:t>
      </w:r>
      <w:bookmarkEnd w:id="24"/>
      <w:r/>
      <w:bookmarkEnd w:id="25"/>
      <w:r/>
      <w:bookmarkEnd w:id="26"/>
      <w:r/>
      <w:bookmarkEnd w:id="27"/>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截止时间：202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日</w:t>
      </w:r>
      <w:r>
        <w:rPr>
          <w:rFonts w:hint="eastAsia" w:ascii="宋体" w:hAnsi="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点</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0分（北京时间）；</w:t>
      </w:r>
      <w:r/>
    </w:p>
    <w:p>
      <w:pPr>
        <w:ind w:firstLine="420"/>
        <w:jc w:val="both"/>
        <w:keepLines w:val="0"/>
        <w:keepNext w:val="0"/>
        <w:pageBreakBefore w:val="0"/>
        <w:spacing w:line="52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地点：“苏采云”系统（网址：</w:t>
      </w:r>
      <w:bookmarkStart w:id="28" w:name="OLE_LINK38"/>
      <w:r/>
      <w:bookmarkStart w:id="29" w:name="OLE_LINK37"/>
      <w:r>
        <w:rPr>
          <w:rFonts w:hint="eastAsia" w:ascii="宋体" w:hAnsi="宋体" w:eastAsia="宋体" w:cs="宋体"/>
          <w:color w:val="auto"/>
          <w:sz w:val="21"/>
          <w:szCs w:val="21"/>
          <w:highlight w:val="none"/>
        </w:rPr>
        <w:t xml:space="preserve">http://jszfcg.jsczt.cn/</w:t>
      </w:r>
      <w:bookmarkEnd w:id="28"/>
      <w:r/>
      <w:bookmarkEnd w:id="29"/>
      <w:r>
        <w:rPr>
          <w:rFonts w:hint="eastAsia" w:ascii="宋体" w:hAnsi="宋体" w:eastAsia="宋体" w:cs="宋体"/>
          <w:color w:val="auto"/>
          <w:sz w:val="21"/>
          <w:szCs w:val="21"/>
          <w:highlight w:val="none"/>
        </w:rPr>
        <w:t xml:space="preserve">）。</w:t>
      </w:r>
      <w:r/>
    </w:p>
    <w:p>
      <w:pPr>
        <w:ind w:firstLine="422"/>
        <w:jc w:val="both"/>
        <w:keepLines w:val="0"/>
        <w:keepNext w:val="0"/>
        <w:pageBreakBefore w:val="0"/>
        <w:spacing w:line="520" w:lineRule="exact"/>
        <w:widowControl w:val="off"/>
        <w:rPr>
          <w:rFonts w:hint="eastAsia" w:ascii="宋体" w:hAnsi="宋体" w:eastAsia="宋体" w:cs="宋体"/>
          <w:b/>
          <w:color w:val="auto"/>
          <w:sz w:val="21"/>
          <w:szCs w:val="21"/>
          <w:highlight w:val="none"/>
        </w:rPr>
      </w:pPr>
      <w:r/>
      <w:bookmarkStart w:id="30" w:name="_Toc28359016"/>
      <w:r/>
      <w:bookmarkStart w:id="31" w:name="_Toc35393633"/>
      <w:r/>
      <w:bookmarkStart w:id="32" w:name="_Toc35393802"/>
      <w:r/>
      <w:bookmarkStart w:id="33" w:name="_Toc28359093"/>
      <w:r>
        <w:rPr>
          <w:rFonts w:hint="eastAsia" w:ascii="宋体" w:hAnsi="宋体" w:eastAsia="宋体" w:cs="宋体"/>
          <w:b/>
          <w:color w:val="auto"/>
          <w:sz w:val="21"/>
          <w:szCs w:val="21"/>
          <w:highlight w:val="none"/>
        </w:rPr>
        <w:t xml:space="preserve">五、开启</w:t>
      </w:r>
      <w:bookmarkEnd w:id="30"/>
      <w:r/>
      <w:bookmarkEnd w:id="31"/>
      <w:r/>
      <w:bookmarkEnd w:id="32"/>
      <w:r/>
      <w:bookmarkEnd w:id="33"/>
      <w:r>
        <w:rPr>
          <w:rFonts w:hint="eastAsia" w:ascii="宋体" w:hAnsi="宋体" w:eastAsia="宋体" w:cs="宋体"/>
          <w:b/>
          <w:color w:val="auto"/>
          <w:sz w:val="21"/>
          <w:szCs w:val="21"/>
          <w:highlight w:val="none"/>
        </w:rPr>
        <w:t xml:space="preserve">（开标时间）</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月</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日</w:t>
      </w:r>
      <w:r>
        <w:rPr>
          <w:rFonts w:hint="eastAsia" w:ascii="宋体" w:hAnsi="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rPr>
        <w:t xml:space="preserve">点</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rPr>
        <w:t xml:space="preserve">0分（北京时间）；</w:t>
      </w:r>
      <w:r/>
    </w:p>
    <w:p>
      <w:pPr>
        <w:ind w:firstLine="420"/>
        <w:jc w:val="both"/>
        <w:keepLines w:val="0"/>
        <w:keepNext w:val="0"/>
        <w:pageBreakBefore w:val="0"/>
        <w:spacing w:line="52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地点：“苏采云”系统（网址：http://jszfcg.jsczt.cn/）“开标大厅”。</w:t>
      </w:r>
      <w:r/>
    </w:p>
    <w:p>
      <w:pPr>
        <w:ind w:firstLine="422"/>
        <w:jc w:val="both"/>
        <w:keepLines w:val="0"/>
        <w:keepNext w:val="0"/>
        <w:pageBreakBefore w:val="0"/>
        <w:spacing w:line="520" w:lineRule="exact"/>
        <w:widowControl w:val="off"/>
        <w:rPr>
          <w:rFonts w:hint="eastAsia" w:ascii="宋体" w:hAnsi="宋体" w:eastAsia="宋体" w:cs="宋体"/>
          <w:b/>
          <w:color w:val="auto"/>
          <w:sz w:val="21"/>
          <w:szCs w:val="21"/>
          <w:highlight w:val="none"/>
        </w:rPr>
      </w:pPr>
      <w:r/>
      <w:bookmarkStart w:id="34" w:name="_Toc35393803"/>
      <w:r/>
      <w:bookmarkStart w:id="35" w:name="_Toc35393634"/>
      <w:r/>
      <w:bookmarkStart w:id="36" w:name="_Toc28359017"/>
      <w:r/>
      <w:bookmarkStart w:id="37" w:name="_Toc28359094"/>
      <w:r>
        <w:rPr>
          <w:rFonts w:hint="eastAsia" w:ascii="宋体" w:hAnsi="宋体" w:eastAsia="宋体" w:cs="宋体"/>
          <w:b/>
          <w:color w:val="auto"/>
          <w:sz w:val="21"/>
          <w:szCs w:val="21"/>
          <w:highlight w:val="none"/>
        </w:rPr>
        <w:t xml:space="preserve">六、公告期限</w:t>
      </w:r>
      <w:bookmarkEnd w:id="34"/>
      <w:r/>
      <w:bookmarkEnd w:id="35"/>
      <w:r/>
      <w:bookmarkEnd w:id="36"/>
      <w:r/>
      <w:bookmarkEnd w:id="37"/>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自本公告发布之日起3个工作日。</w:t>
      </w:r>
      <w:r/>
    </w:p>
    <w:p>
      <w:pPr>
        <w:ind w:firstLine="422"/>
        <w:jc w:val="both"/>
        <w:keepLines w:val="0"/>
        <w:keepNext w:val="0"/>
        <w:pageBreakBefore w:val="0"/>
        <w:spacing w:line="520" w:lineRule="exact"/>
        <w:widowControl w:val="off"/>
        <w:rPr>
          <w:rFonts w:hint="eastAsia" w:ascii="宋体" w:hAnsi="宋体" w:eastAsia="宋体" w:cs="宋体"/>
          <w:b/>
          <w:color w:val="auto"/>
          <w:sz w:val="21"/>
          <w:szCs w:val="21"/>
          <w:highlight w:val="none"/>
        </w:rPr>
      </w:pPr>
      <w:r/>
      <w:bookmarkStart w:id="38" w:name="_Toc35393804"/>
      <w:r/>
      <w:bookmarkStart w:id="39" w:name="_Toc35393635"/>
      <w:r>
        <w:rPr>
          <w:rFonts w:hint="eastAsia" w:ascii="宋体" w:hAnsi="宋体" w:eastAsia="宋体" w:cs="宋体"/>
          <w:b/>
          <w:color w:val="auto"/>
          <w:sz w:val="21"/>
          <w:szCs w:val="21"/>
          <w:highlight w:val="none"/>
        </w:rPr>
        <w:t xml:space="preserve">七、其他补充事宜</w:t>
      </w:r>
      <w:bookmarkEnd w:id="38"/>
      <w:r/>
      <w:bookmarkEnd w:id="39"/>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体办理指南和操作手册见链接：http://www.ccgp-jiangsu.gov.cn/jiangsu/zlxz/ee/ee3a4bc5a3454aa2b0d9312230633ce9.html。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2.有关本次招标的事项若存在变动或修改，敬请及时关注“江苏政府采购网”发布的更正公告。</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3.如认为上述公告中，有违反公平竞争审查标准的内容，联系泰州市九龙镇人民政府或</w:t>
      </w:r>
      <w:r>
        <w:rPr>
          <w:rFonts w:hint="eastAsia" w:ascii="宋体" w:hAnsi="宋体" w:eastAsia="宋体" w:cs="宋体"/>
          <w:color w:val="auto"/>
          <w:sz w:val="21"/>
          <w:szCs w:val="21"/>
          <w:highlight w:val="none"/>
          <w:lang w:eastAsia="zh-CN"/>
        </w:rPr>
        <w:t xml:space="preserve">江苏建泰工程项目管理有限公司</w:t>
      </w: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周</w:t>
      </w:r>
      <w:r>
        <w:rPr>
          <w:rFonts w:hint="eastAsia" w:ascii="宋体" w:hAnsi="宋体" w:eastAsia="宋体" w:cs="宋体"/>
          <w:color w:val="auto"/>
          <w:sz w:val="21"/>
          <w:szCs w:val="21"/>
          <w:highlight w:val="none"/>
          <w:lang w:eastAsia="zh-CN"/>
        </w:rPr>
        <w:t xml:space="preserve">女士</w:t>
      </w:r>
      <w:r>
        <w:rPr>
          <w:rFonts w:hint="eastAsia" w:ascii="宋体" w:hAnsi="宋体" w:eastAsia="宋体" w:cs="宋体"/>
          <w:color w:val="auto"/>
          <w:sz w:val="21"/>
          <w:szCs w:val="21"/>
          <w:highlight w:val="none"/>
        </w:rPr>
        <w:t xml:space="preserve">，联系方式：</w:t>
      </w:r>
      <w:r>
        <w:rPr>
          <w:rFonts w:hint="eastAsia" w:ascii="宋体" w:hAnsi="宋体" w:eastAsia="宋体" w:cs="宋体"/>
          <w:color w:val="auto"/>
          <w:sz w:val="21"/>
          <w:szCs w:val="21"/>
          <w:highlight w:val="none"/>
          <w:lang w:val="en-US" w:eastAsia="zh-CN"/>
        </w:rPr>
        <w:t xml:space="preserve">0523-81908859</w:t>
      </w:r>
      <w:r>
        <w:rPr>
          <w:rFonts w:hint="eastAsia" w:ascii="宋体" w:hAnsi="宋体" w:eastAsia="宋体" w:cs="宋体"/>
          <w:color w:val="auto"/>
          <w:sz w:val="21"/>
          <w:szCs w:val="21"/>
          <w:highlight w:val="none"/>
        </w:rPr>
        <w:t xml:space="preserve">。</w:t>
      </w:r>
      <w:r/>
    </w:p>
    <w:p>
      <w:pPr>
        <w:ind w:firstLine="422"/>
        <w:jc w:val="both"/>
        <w:keepLines w:val="0"/>
        <w:keepNext w:val="0"/>
        <w:pageBreakBefore w:val="0"/>
        <w:spacing w:line="520" w:lineRule="exact"/>
        <w:widowControl w:val="off"/>
        <w:rPr>
          <w:rFonts w:hint="eastAsia" w:ascii="宋体" w:hAnsi="宋体" w:eastAsia="宋体" w:cs="宋体"/>
          <w:b/>
          <w:color w:val="auto"/>
          <w:sz w:val="21"/>
          <w:szCs w:val="21"/>
          <w:highlight w:val="none"/>
        </w:rPr>
      </w:pPr>
      <w:r/>
      <w:bookmarkStart w:id="40" w:name="_Toc28359095"/>
      <w:r/>
      <w:bookmarkStart w:id="41" w:name="_Toc35393805"/>
      <w:r/>
      <w:bookmarkStart w:id="42" w:name="_Toc35393636"/>
      <w:r/>
      <w:bookmarkStart w:id="43" w:name="_Toc28359018"/>
      <w:r>
        <w:rPr>
          <w:rFonts w:hint="eastAsia" w:ascii="宋体" w:hAnsi="宋体" w:eastAsia="宋体" w:cs="宋体"/>
          <w:b/>
          <w:color w:val="auto"/>
          <w:sz w:val="21"/>
          <w:szCs w:val="21"/>
          <w:highlight w:val="none"/>
        </w:rPr>
        <w:t xml:space="preserve">八、凡对本次采购提出询问，请按以下方式联系</w:t>
      </w:r>
      <w:bookmarkEnd w:id="40"/>
      <w:r/>
      <w:bookmarkEnd w:id="41"/>
      <w:r/>
      <w:bookmarkEnd w:id="42"/>
      <w:r/>
      <w:bookmarkEnd w:id="43"/>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1.采购单位：泰州市九龙镇人民政府</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地址：江苏省泰州市海陵区九龙镇龙园路201号</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臧</w:t>
      </w:r>
      <w:r>
        <w:rPr>
          <w:rFonts w:hint="eastAsia" w:ascii="宋体" w:hAnsi="宋体" w:eastAsia="宋体" w:cs="宋体"/>
          <w:color w:val="auto"/>
          <w:sz w:val="21"/>
          <w:szCs w:val="21"/>
          <w:highlight w:val="none"/>
        </w:rPr>
        <w:t xml:space="preserve">先生  </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联系电话：18351014824</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2.代理机构：</w:t>
      </w:r>
      <w:r>
        <w:rPr>
          <w:rFonts w:hint="eastAsia" w:ascii="宋体" w:hAnsi="宋体" w:eastAsia="宋体" w:cs="宋体"/>
          <w:color w:val="auto"/>
          <w:sz w:val="21"/>
          <w:szCs w:val="21"/>
          <w:highlight w:val="none"/>
          <w:lang w:eastAsia="zh-CN"/>
        </w:rPr>
        <w:t xml:space="preserve">江苏建泰工程项目管理有限公司</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lang w:eastAsia="zh-CN"/>
        </w:rPr>
        <w:t xml:space="preserve">泰州市海陵区华润万象城双子塔东塔52楼5203室</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val="en-US" w:eastAsia="zh-CN"/>
        </w:rPr>
        <w:t xml:space="preserve">周</w:t>
      </w:r>
      <w:r>
        <w:rPr>
          <w:rFonts w:hint="eastAsia" w:ascii="宋体" w:hAnsi="宋体" w:eastAsia="宋体" w:cs="宋体"/>
          <w:color w:val="auto"/>
          <w:sz w:val="21"/>
          <w:szCs w:val="21"/>
          <w:highlight w:val="none"/>
          <w:lang w:eastAsia="zh-CN"/>
        </w:rPr>
        <w:t xml:space="preserve">女士</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联系电话：</w:t>
      </w:r>
      <w:bookmarkStart w:id="44" w:name="_Toc28359098"/>
      <w:r/>
      <w:bookmarkStart w:id="45" w:name="_Toc28359021"/>
      <w:r/>
      <w:bookmarkStart w:id="46" w:name="_Toc35393639"/>
      <w:r/>
      <w:bookmarkStart w:id="47" w:name="_Toc35393808"/>
      <w:r>
        <w:rPr>
          <w:rFonts w:hint="eastAsia" w:ascii="宋体" w:hAnsi="宋体" w:eastAsia="宋体" w:cs="宋体"/>
          <w:color w:val="auto"/>
          <w:sz w:val="21"/>
          <w:szCs w:val="21"/>
          <w:highlight w:val="none"/>
          <w:lang w:val="en-US" w:eastAsia="zh-CN"/>
        </w:rPr>
        <w:t xml:space="preserve">0523-81908859</w:t>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3.项目联系方式</w:t>
      </w:r>
      <w:bookmarkEnd w:id="44"/>
      <w:r/>
      <w:bookmarkEnd w:id="45"/>
      <w:r/>
      <w:bookmarkEnd w:id="46"/>
      <w:r/>
      <w:bookmarkEnd w:id="47"/>
      <w:r/>
      <w:r/>
    </w:p>
    <w:p>
      <w:pPr>
        <w:ind w:firstLine="420"/>
        <w:jc w:val="both"/>
        <w:keepLines w:val="0"/>
        <w:keepNext w:val="0"/>
        <w:pageBreakBefore w:val="0"/>
        <w:spacing w:line="52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项目联系人：</w:t>
      </w:r>
      <w:r>
        <w:rPr>
          <w:rFonts w:hint="eastAsia" w:ascii="宋体" w:hAnsi="宋体" w:eastAsia="宋体" w:cs="宋体"/>
          <w:color w:val="auto"/>
          <w:sz w:val="21"/>
          <w:szCs w:val="21"/>
          <w:highlight w:val="none"/>
          <w:lang w:val="en-US" w:eastAsia="zh-CN"/>
        </w:rPr>
        <w:t xml:space="preserve">周</w:t>
      </w:r>
      <w:r>
        <w:rPr>
          <w:rFonts w:hint="eastAsia" w:ascii="宋体" w:hAnsi="宋体" w:eastAsia="宋体" w:cs="宋体"/>
          <w:color w:val="auto"/>
          <w:sz w:val="21"/>
          <w:szCs w:val="21"/>
          <w:highlight w:val="none"/>
          <w:lang w:eastAsia="zh-CN"/>
        </w:rPr>
        <w:t xml:space="preserve">女士</w:t>
      </w:r>
      <w:r/>
    </w:p>
    <w:p>
      <w:pPr>
        <w:ind w:firstLine="420"/>
        <w:jc w:val="both"/>
        <w:keepLines w:val="0"/>
        <w:keepNext w:val="0"/>
        <w:pageBreakBefore w:val="0"/>
        <w:spacing w:line="520" w:lineRule="exact"/>
        <w:widowControl w:val="off"/>
        <w:rPr>
          <w:rFonts w:hint="eastAsia" w:ascii="宋体" w:hAnsi="宋体" w:eastAsia="宋体" w:cs="宋体"/>
          <w:color w:val="auto"/>
          <w:highlight w:val="none"/>
          <w:lang w:eastAsia="zh-CN"/>
        </w:rPr>
      </w:pPr>
      <w:r>
        <w:rPr>
          <w:rFonts w:hint="eastAsia" w:ascii="宋体" w:hAnsi="宋体" w:eastAsia="宋体" w:cs="宋体"/>
          <w:color w:val="auto"/>
          <w:sz w:val="21"/>
          <w:szCs w:val="21"/>
          <w:highlight w:val="none"/>
        </w:rPr>
        <w:t xml:space="preserve">电话：</w:t>
      </w:r>
      <w:r>
        <w:rPr>
          <w:rFonts w:hint="eastAsia" w:ascii="宋体" w:hAnsi="宋体" w:eastAsia="宋体" w:cs="宋体"/>
          <w:color w:val="auto"/>
          <w:sz w:val="21"/>
          <w:szCs w:val="21"/>
          <w:highlight w:val="none"/>
          <w:lang w:val="en-US" w:eastAsia="zh-CN"/>
        </w:rPr>
        <w:t xml:space="preserve">0523-81908859</w:t>
      </w:r>
      <w:r/>
    </w:p>
    <w:p>
      <w:pPr>
        <w:pStyle w:val="868"/>
        <w:jc w:val="center"/>
        <w:keepNext w:val="0"/>
        <w:rPr>
          <w:rFonts w:hint="eastAsia" w:ascii="宋体" w:hAnsi="宋体" w:eastAsia="宋体" w:cs="宋体"/>
          <w:color w:val="auto"/>
          <w:sz w:val="32"/>
          <w:szCs w:val="32"/>
          <w:highlight w:val="none"/>
        </w:rPr>
      </w:pPr>
      <w:r>
        <w:rPr>
          <w:rFonts w:hint="eastAsia" w:ascii="宋体" w:hAnsi="宋体" w:eastAsia="宋体" w:cs="宋体"/>
          <w:color w:val="auto"/>
          <w:highlight w:val="none"/>
        </w:rPr>
        <w:br w:type="page" w:clear="all"/>
      </w:r>
      <w:bookmarkStart w:id="48" w:name="_Toc11632"/>
      <w:r/>
      <w:bookmarkStart w:id="49" w:name="_Toc13715"/>
      <w:r>
        <w:rPr>
          <w:rFonts w:hint="eastAsia" w:ascii="黑体" w:hAnsi="黑体" w:eastAsia="黑体" w:cs="黑体"/>
          <w:color w:val="auto"/>
          <w:sz w:val="32"/>
          <w:szCs w:val="32"/>
          <w:highlight w:val="none"/>
        </w:rPr>
        <w:t xml:space="preserve">第二章 参加磋商供应商须知</w:t>
      </w:r>
      <w:bookmarkEnd w:id="48"/>
      <w:r/>
      <w:bookmarkEnd w:id="49"/>
      <w:r/>
      <w:r/>
    </w:p>
    <w:p>
      <w:pPr>
        <w:jc w:val="center"/>
        <w:spacing w:line="400" w:lineRule="exact"/>
        <w:rPr>
          <w:rFonts w:hint="eastAsia" w:ascii="宋体" w:hAnsi="宋体" w:eastAsia="宋体" w:cs="宋体"/>
          <w:b/>
          <w:color w:val="auto"/>
          <w:highlight w:val="none"/>
        </w:rPr>
      </w:pPr>
      <w:r>
        <w:rPr>
          <w:rFonts w:hint="eastAsia" w:ascii="宋体" w:hAnsi="宋体" w:eastAsia="宋体" w:cs="宋体"/>
          <w:color w:val="auto"/>
          <w:highlight w:val="none"/>
        </w:rPr>
        <w:t xml:space="preserve">（参加竞争性磋商的供应商以下简称“磋商供应商”）</w:t>
      </w:r>
      <w:r/>
    </w:p>
    <w:p>
      <w:pPr>
        <w:ind w:firstLine="422"/>
        <w:keepLines w:val="0"/>
        <w:keepNext w:val="0"/>
        <w:pageBreakBefore w:val="0"/>
        <w:spacing w:line="52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一、总则</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1.适用范围</w:t>
      </w:r>
      <w:r>
        <w:rPr>
          <w:rFonts w:hint="eastAsia" w:ascii="宋体" w:hAnsi="宋体" w:eastAsia="宋体" w:cs="宋体"/>
          <w:color w:val="auto"/>
          <w:highlight w:val="none"/>
        </w:rPr>
        <w:tab/>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本磋商文件仅适用于</w:t>
      </w:r>
      <w:r>
        <w:rPr>
          <w:rFonts w:hint="eastAsia" w:ascii="宋体" w:hAnsi="宋体" w:eastAsia="宋体" w:cs="宋体"/>
          <w:color w:val="auto"/>
          <w:sz w:val="21"/>
          <w:szCs w:val="21"/>
          <w:highlight w:val="none"/>
          <w:lang w:eastAsia="zh-CN"/>
        </w:rPr>
        <w:t xml:space="preserve">九龙镇道路保洁、垃圾收集服务项目</w:t>
      </w:r>
      <w:r>
        <w:rPr>
          <w:rFonts w:hint="eastAsia" w:ascii="宋体" w:hAnsi="宋体" w:eastAsia="宋体" w:cs="宋体"/>
          <w:color w:val="auto"/>
          <w:highlight w:val="none"/>
        </w:rPr>
        <w:t xml:space="preserve">。</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2.项目采购方式</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本次采购采取竞争性磋商的方式。</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3.合格的磋商供应商</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3.1满足本磋商文件“竞争性磋商采购公告”中申请人的资格要求的规定。</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3.2满足本磋商文件实质性要求和条件的规定。</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4.参加磋商费用</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4.1参加磋商供应商应自行承担所有与参加磋商有关的费用。不论最终的成交结果如何，</w:t>
      </w:r>
      <w:r>
        <w:rPr>
          <w:rFonts w:hint="eastAsia" w:ascii="宋体" w:hAnsi="宋体" w:eastAsia="宋体" w:cs="宋体"/>
          <w:color w:val="auto"/>
          <w:highlight w:val="none"/>
          <w:lang w:eastAsia="zh-CN"/>
        </w:rPr>
        <w:t xml:space="preserve">江苏建泰工程项目管理有限公司</w:t>
      </w:r>
      <w:r>
        <w:rPr>
          <w:rFonts w:hint="eastAsia" w:ascii="宋体" w:hAnsi="宋体" w:eastAsia="宋体" w:cs="宋体"/>
          <w:color w:val="auto"/>
          <w:highlight w:val="none"/>
        </w:rPr>
        <w:t xml:space="preserve">（以下简称代理机构）在任何情况下均无义务和责任承担这些费用。</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5.磋商文件的约束力</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供应商一旦领取了本磋商文件并决定参加磋商，即被视为接受了本磋商文件的规定和约束，并且视为自竞争性磋商公告期限届满之日起已经知道或应当知道自身权益是否受到了损害。</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w:t>
      </w:r>
      <w:bookmarkStart w:id="50" w:name="_Toc513029211"/>
      <w:r/>
      <w:bookmarkStart w:id="51" w:name="_Toc462564070"/>
      <w:r/>
      <w:bookmarkStart w:id="52" w:name="_Toc16938527"/>
      <w:r/>
      <w:bookmarkStart w:id="53" w:name="_Toc20823283"/>
      <w:r>
        <w:rPr>
          <w:rFonts w:hint="eastAsia" w:ascii="宋体" w:hAnsi="宋体" w:eastAsia="宋体" w:cs="宋体"/>
          <w:color w:val="auto"/>
          <w:highlight w:val="none"/>
        </w:rPr>
        <w:t xml:space="preserve">.磋商文件的澄清</w:t>
      </w:r>
      <w:bookmarkEnd w:id="50"/>
      <w:r/>
      <w:bookmarkEnd w:id="51"/>
      <w:r/>
      <w:bookmarkEnd w:id="52"/>
      <w:r/>
      <w:bookmarkEnd w:id="53"/>
      <w:r>
        <w:rPr>
          <w:rFonts w:hint="eastAsia" w:ascii="宋体" w:hAnsi="宋体" w:eastAsia="宋体" w:cs="宋体"/>
          <w:color w:val="auto"/>
          <w:highlight w:val="none"/>
        </w:rPr>
        <w:t xml:space="preserve">及修改</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任何要求对磋商文件进行澄清的供应商，均应在法律法规规定的质疑时效内按竞争性磋商采购公告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5日前，以书面形式通知所有获取磋商文件的供应商。不足5日的，代理机构顺延提交首次响应文件截止时间。</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6.2代理机构不组织供应商进行现场考察或召开磋商前答疑会。</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7.合同形式：固定总价合同</w:t>
      </w:r>
      <w:r/>
    </w:p>
    <w:p>
      <w:pPr>
        <w:ind w:firstLine="422"/>
        <w:keepLines w:val="0"/>
        <w:keepNext w:val="0"/>
        <w:pageBreakBefore w:val="0"/>
        <w:spacing w:line="520" w:lineRule="exact"/>
        <w:widowControl w:val="off"/>
        <w:rPr>
          <w:rFonts w:hint="eastAsia" w:ascii="宋体" w:hAnsi="宋体" w:eastAsia="宋体" w:cs="宋体"/>
          <w:b/>
          <w:bCs/>
          <w:color w:val="auto"/>
          <w:highlight w:val="none"/>
        </w:rPr>
      </w:pPr>
      <w:r/>
      <w:bookmarkStart w:id="54" w:name="_Toc61149553"/>
      <w:r/>
      <w:bookmarkStart w:id="55" w:name="_Toc14577351"/>
      <w:r/>
      <w:bookmarkStart w:id="56" w:name="_Toc513029213"/>
      <w:r/>
      <w:bookmarkStart w:id="57" w:name="_Toc462564072"/>
      <w:r>
        <w:rPr>
          <w:rFonts w:hint="eastAsia" w:ascii="宋体" w:hAnsi="宋体" w:eastAsia="宋体" w:cs="宋体"/>
          <w:b/>
          <w:bCs/>
          <w:color w:val="auto"/>
          <w:highlight w:val="none"/>
        </w:rPr>
        <w:t xml:space="preserve">二、磋商响应文件的编制</w:t>
      </w:r>
      <w:bookmarkEnd w:id="54"/>
      <w:r/>
      <w:bookmarkEnd w:id="55"/>
      <w:r/>
      <w:bookmarkEnd w:id="56"/>
      <w:r/>
      <w:bookmarkEnd w:id="57"/>
      <w:r>
        <w:rPr>
          <w:rFonts w:hint="eastAsia" w:ascii="宋体" w:hAnsi="宋体" w:eastAsia="宋体" w:cs="宋体"/>
          <w:b/>
          <w:bCs/>
          <w:color w:val="auto"/>
          <w:highlight w:val="none"/>
        </w:rPr>
        <w:t xml:space="preserve">及保证金收取</w:t>
      </w:r>
      <w:r/>
    </w:p>
    <w:p>
      <w:pPr>
        <w:ind w:firstLine="420"/>
        <w:keepLines w:val="0"/>
        <w:keepNext w:val="0"/>
        <w:pageBreakBefore w:val="0"/>
        <w:spacing w:line="520" w:lineRule="exact"/>
        <w:widowControl w:val="off"/>
        <w:rPr>
          <w:rFonts w:hint="eastAsia" w:ascii="宋体" w:hAnsi="宋体" w:eastAsia="宋体" w:cs="宋体"/>
          <w:color w:val="auto"/>
          <w:highlight w:val="none"/>
        </w:rPr>
      </w:pPr>
      <w:r/>
      <w:bookmarkStart w:id="58" w:name="_Hlt26954834"/>
      <w:r/>
      <w:bookmarkEnd w:id="58"/>
      <w:r/>
      <w:bookmarkStart w:id="59" w:name="_Toc14577353"/>
      <w:r/>
      <w:bookmarkStart w:id="60" w:name="_Toc462564074"/>
      <w:r/>
      <w:bookmarkStart w:id="61" w:name="_Toc513029215"/>
      <w:r/>
      <w:bookmarkStart w:id="62" w:name="_Toc61149555"/>
      <w:r/>
      <w:bookmarkStart w:id="63" w:name="_Toc513029214"/>
      <w:r/>
      <w:bookmarkStart w:id="64" w:name="_Toc14577352"/>
      <w:r/>
      <w:bookmarkStart w:id="65" w:name="_Toc462564073"/>
      <w:r/>
      <w:bookmarkStart w:id="66" w:name="_Toc61149554"/>
      <w:r>
        <w:rPr>
          <w:rFonts w:hint="eastAsia" w:ascii="宋体" w:hAnsi="宋体" w:eastAsia="宋体" w:cs="宋体"/>
          <w:color w:val="auto"/>
          <w:highlight w:val="none"/>
        </w:rPr>
        <w:t xml:space="preserve">1.响应文件</w:t>
      </w:r>
      <w:bookmarkEnd w:id="59"/>
      <w:r/>
      <w:bookmarkEnd w:id="60"/>
      <w:r/>
      <w:bookmarkEnd w:id="61"/>
      <w:r/>
      <w:bookmarkEnd w:id="62"/>
      <w:r>
        <w:rPr>
          <w:rFonts w:hint="eastAsia" w:ascii="宋体" w:hAnsi="宋体" w:eastAsia="宋体" w:cs="宋体"/>
          <w:color w:val="auto"/>
          <w:highlight w:val="none"/>
        </w:rPr>
        <w:t xml:space="preserve">编制要求</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1.1磋商供应商提交的响应文件以及其与代理机构及采购人就有关磋商的所有来往函电均应使用简体中文。磋商文件中既有中文也有外文的，以中文意义为准。</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1.2除技术性能另有规定外，响应文件所使用的度量衡单位，均须采用国家法定计量单位。</w:t>
      </w:r>
      <w:bookmarkEnd w:id="63"/>
      <w:r/>
      <w:bookmarkEnd w:id="64"/>
      <w:r/>
      <w:bookmarkEnd w:id="65"/>
      <w:r/>
      <w:bookmarkEnd w:id="66"/>
      <w:r/>
      <w:r/>
    </w:p>
    <w:p>
      <w:pPr>
        <w:ind w:firstLine="420"/>
        <w:keepLines w:val="0"/>
        <w:keepNext w:val="0"/>
        <w:pageBreakBefore w:val="0"/>
        <w:spacing w:line="520" w:lineRule="exact"/>
        <w:widowControl w:val="off"/>
        <w:rPr>
          <w:rFonts w:hint="eastAsia" w:ascii="宋体" w:hAnsi="宋体" w:eastAsia="宋体" w:cs="宋体"/>
          <w:color w:val="auto"/>
          <w:highlight w:val="none"/>
        </w:rPr>
      </w:pPr>
      <w:r/>
      <w:bookmarkStart w:id="67" w:name="_Hlt26670357"/>
      <w:r/>
      <w:bookmarkEnd w:id="67"/>
      <w:r/>
      <w:bookmarkStart w:id="68" w:name="_Hlt26954836"/>
      <w:r/>
      <w:bookmarkEnd w:id="68"/>
      <w:r/>
      <w:bookmarkStart w:id="69" w:name="_Toc513029219"/>
      <w:r/>
      <w:bookmarkStart w:id="70" w:name="_Toc61149558"/>
      <w:r/>
      <w:bookmarkStart w:id="71" w:name="_Toc14577357"/>
      <w:r/>
      <w:bookmarkStart w:id="72" w:name="_Toc513029217"/>
      <w:r/>
      <w:bookmarkStart w:id="73" w:name="_Toc14577355"/>
      <w:r/>
      <w:bookmarkStart w:id="74" w:name="_Toc61149557"/>
      <w:r>
        <w:rPr>
          <w:rFonts w:hint="eastAsia" w:ascii="宋体" w:hAnsi="宋体" w:eastAsia="宋体" w:cs="宋体"/>
          <w:color w:val="auto"/>
          <w:highlight w:val="none"/>
        </w:rPr>
        <w:t xml:space="preserve">1.3响应文件构成</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供应商应认真阅读和理解磋商文件，并按磋商文件的要求编制响应文件；响应文件应对磋商文件作实质性响应，并保证所提供资料的真实性。磋商供应商编写的响应文件应包括下列部分：</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加★项目若有缺失或无效，将导致该响应文件作无效响应文件评定，且不允许在磋商截止时间后补正。</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1.3.1 资格证明文件</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（1）★具有独立承担民事责任能力的企事业法人营业执照；</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（2）★磋商供应商法定代表人资格证明书</w:t>
      </w:r>
      <w:bookmarkStart w:id="75" w:name="OLE_LINK57"/>
      <w:r/>
      <w:bookmarkStart w:id="76" w:name="OLE_LINK56"/>
      <w:r>
        <w:rPr>
          <w:rFonts w:hint="eastAsia" w:ascii="宋体" w:hAnsi="宋体" w:eastAsia="宋体" w:cs="宋体"/>
          <w:b/>
          <w:color w:val="auto"/>
          <w:highlight w:val="none"/>
        </w:rPr>
        <w:t xml:space="preserve">（格式见附件）</w:t>
      </w:r>
      <w:bookmarkEnd w:id="75"/>
      <w:r/>
      <w:bookmarkEnd w:id="76"/>
      <w:r>
        <w:rPr>
          <w:rFonts w:hint="eastAsia" w:ascii="宋体" w:hAnsi="宋体" w:eastAsia="宋体" w:cs="宋体"/>
          <w:color w:val="auto"/>
          <w:highlight w:val="none"/>
        </w:rPr>
        <w:t xml:space="preserve">；</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（3）★磋商供应商法定代表人授权委托书</w:t>
      </w:r>
      <w:r>
        <w:rPr>
          <w:rFonts w:hint="eastAsia" w:ascii="宋体" w:hAnsi="宋体" w:eastAsia="宋体" w:cs="宋体"/>
          <w:b/>
          <w:color w:val="auto"/>
          <w:highlight w:val="none"/>
        </w:rPr>
        <w:t xml:space="preserve">（格式见附件，法定代表人亲自参加磋商的除外）</w:t>
      </w:r>
      <w:r>
        <w:rPr>
          <w:rFonts w:hint="eastAsia" w:ascii="宋体" w:hAnsi="宋体" w:eastAsia="宋体" w:cs="宋体"/>
          <w:color w:val="auto"/>
          <w:highlight w:val="none"/>
        </w:rPr>
        <w:t xml:space="preserve">；</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（4）★按照本文件第一章第二条之</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中“本项目的特定资格要求”应当提供的证书或材料等</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如有</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供应商近六个月中任意一个月份（不含磋商当月）的财务状况报告（至少包含资产负债表和利润表）或由会计师事务所出具的近两年中任意一个年度的审计报告和所附已审财务报告复印件；其他组织、自然人及成立未满一年的法人应提供银行出具的资信证明；</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（6）★供应商近六个月中任意一个月份（不含磋商当月）的依法缴纳税收的相关材料（提供相关主管部门证明或银行代扣证明）复印件（依法免税的磋商供应商，应提供其依法免税的证明材料）；</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（7）★供应商近六个月中任意一个月份（不含磋商当月）的依法缴纳社会保障资金的相关材料（提供相关主管部门证明或银行代扣证明）；</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（8）★参加政府采购活动前 3 年内在经营活动中没有重大违法记录的书面声明</w:t>
      </w:r>
      <w:r>
        <w:rPr>
          <w:rFonts w:hint="eastAsia" w:ascii="宋体" w:hAnsi="宋体" w:eastAsia="宋体" w:cs="宋体"/>
          <w:b/>
          <w:color w:val="auto"/>
          <w:highlight w:val="none"/>
        </w:rPr>
        <w:t xml:space="preserve">（格式见附件）</w:t>
      </w:r>
      <w:r>
        <w:rPr>
          <w:rFonts w:hint="eastAsia" w:ascii="宋体" w:hAnsi="宋体" w:eastAsia="宋体" w:cs="宋体"/>
          <w:color w:val="auto"/>
          <w:highlight w:val="none"/>
        </w:rPr>
        <w:t xml:space="preserve">；</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（9）★具备履行合同所必需的设备和专业技术能力的书面声明</w:t>
      </w:r>
      <w:r>
        <w:rPr>
          <w:rFonts w:hint="eastAsia" w:ascii="宋体" w:hAnsi="宋体" w:eastAsia="宋体" w:cs="宋体"/>
          <w:b/>
          <w:color w:val="auto"/>
          <w:highlight w:val="none"/>
        </w:rPr>
        <w:t xml:space="preserve">（格式见附件）</w:t>
      </w:r>
      <w:r>
        <w:rPr>
          <w:rFonts w:hint="eastAsia" w:ascii="宋体" w:hAnsi="宋体" w:eastAsia="宋体" w:cs="宋体"/>
          <w:color w:val="auto"/>
          <w:highlight w:val="none"/>
        </w:rPr>
        <w:t xml:space="preserve">；</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（10）★磋商供应商应提供《中小企业声明函》或《残疾人福利性单位声明函》或省级以上监狱管理局、戒毒管理局（含新疆生产建设兵团）出具的属于监狱企业的证明文件；</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如上述资格证明文件第（5）（6）（7）三项遇有国家相关政策规定可不具备的，必须提供相关政策规定或相关单位出具的有效证明。</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1.3.2商务技术文件（按照本文件第六章统一提供的规范表式填写）</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（1）★磋商响应函；</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（2）★磋商报价表（参考格式，以苏采云系统格式为准）；</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（3）★服务及商务响应偏离表；</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）根据项目需求和评审方法以及评审标准，供应商为使自身处于有利评审地位，应当提交的其他文件和证明资料；</w:t>
      </w:r>
      <w:bookmarkEnd w:id="69"/>
      <w:bookmarkEnd w:id="70"/>
      <w:bookmarkEnd w:id="71"/>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1.3.3如标书制作工具中的格式和内容与“江苏政府采购网”发布的磋商文件不一致，请以“江苏政府采购网”发布的磋商文件为准。</w:t>
      </w:r>
      <w:r/>
    </w:p>
    <w:p>
      <w:pPr>
        <w:ind w:firstLine="420"/>
        <w:keepLines w:val="0"/>
        <w:keepNext w:val="0"/>
        <w:pageBreakBefore w:val="0"/>
        <w:spacing w:line="520" w:lineRule="exact"/>
        <w:widowControl w:val="off"/>
        <w:rPr>
          <w:rFonts w:hint="eastAsia" w:ascii="宋体" w:hAnsi="宋体" w:eastAsia="宋体" w:cs="宋体"/>
          <w:color w:val="auto"/>
          <w:highlight w:val="none"/>
        </w:rPr>
      </w:pPr>
      <w:r/>
      <w:bookmarkStart w:id="77" w:name="_Hlt26668999"/>
      <w:r/>
      <w:bookmarkEnd w:id="77"/>
      <w:r>
        <w:rPr>
          <w:rFonts w:hint="eastAsia" w:ascii="宋体" w:hAnsi="宋体" w:eastAsia="宋体" w:cs="宋体"/>
          <w:color w:val="auto"/>
          <w:highlight w:val="none"/>
        </w:rPr>
        <w:t xml:space="preserve">2.磋商响应报价</w:t>
      </w:r>
      <w:bookmarkEnd w:id="72"/>
      <w:r/>
      <w:bookmarkEnd w:id="73"/>
      <w:r/>
      <w:bookmarkStart w:id="78" w:name="_Hlt26670373"/>
      <w:r/>
      <w:bookmarkEnd w:id="78"/>
      <w:r>
        <w:rPr>
          <w:rFonts w:hint="eastAsia" w:ascii="宋体" w:hAnsi="宋体" w:eastAsia="宋体" w:cs="宋体"/>
          <w:color w:val="auto"/>
          <w:highlight w:val="none"/>
        </w:rPr>
        <w:t xml:space="preserve">表</w:t>
      </w:r>
      <w:bookmarkEnd w:id="74"/>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2.1磋商供应商应按照磋商文件规定格式填报磋商响应报价表。每项产品或服务只允许有一个报价，任何有选择的报价将不予接受，磋商文件中另有规定的按规定执行。</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2.2标的物</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详见项目需求。</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2.3有关费用的处理</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本次采购磋商供应商的总报价应包括为完成本项目发生的所有费用，本磋商文件中另有规定的除外。</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磋商文件未列明，而磋商供应商认为必需的费用也须列入报价。</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 报价采用的货币及方式</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响应文件中的单价和总价，无特殊规定的采用人民币报价，以元为单位标注。磋商文件中另有规定的按规定执行。</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 磋商响应报价表上的价格应按磋商文件规定填写。</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2.6最高限价</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磋商供应商报价超过最高限价的，作为无效标处理。</w:t>
      </w:r>
      <w:r/>
    </w:p>
    <w:p>
      <w:pPr>
        <w:ind w:firstLine="420"/>
        <w:keepLines w:val="0"/>
        <w:keepNext w:val="0"/>
        <w:pageBreakBefore w:val="0"/>
        <w:spacing w:line="520" w:lineRule="exact"/>
        <w:widowControl w:val="off"/>
        <w:rPr>
          <w:rFonts w:hint="eastAsia" w:ascii="宋体" w:hAnsi="宋体" w:eastAsia="宋体" w:cs="宋体"/>
          <w:color w:val="auto"/>
          <w:highlight w:val="none"/>
        </w:rPr>
      </w:pPr>
      <w:r/>
      <w:bookmarkStart w:id="79" w:name="_Hlt26954749"/>
      <w:r/>
      <w:bookmarkEnd w:id="79"/>
      <w:r/>
      <w:bookmarkStart w:id="80" w:name="_Hlt26670489"/>
      <w:r/>
      <w:bookmarkEnd w:id="80"/>
      <w:r/>
      <w:bookmarkStart w:id="81" w:name="_Hlt26670486"/>
      <w:r/>
      <w:bookmarkEnd w:id="81"/>
      <w:r/>
      <w:bookmarkStart w:id="82" w:name="_Hlt26668983"/>
      <w:r/>
      <w:bookmarkEnd w:id="82"/>
      <w:r/>
      <w:bookmarkStart w:id="83" w:name="_Hlt26954846"/>
      <w:r/>
      <w:bookmarkEnd w:id="83"/>
      <w:r/>
      <w:bookmarkStart w:id="84" w:name="_Hlt26954734"/>
      <w:r/>
      <w:bookmarkEnd w:id="84"/>
      <w:r/>
      <w:bookmarkStart w:id="85" w:name="_Hlt26670403"/>
      <w:r/>
      <w:bookmarkEnd w:id="85"/>
      <w:r/>
      <w:bookmarkStart w:id="86" w:name="_Hlt26954739"/>
      <w:r/>
      <w:bookmarkEnd w:id="86"/>
      <w:r/>
      <w:bookmarkStart w:id="87" w:name="_Hlt26954731"/>
      <w:r/>
      <w:bookmarkEnd w:id="87"/>
      <w:r/>
      <w:bookmarkStart w:id="88" w:name="_Hlt26954852"/>
      <w:r/>
      <w:bookmarkEnd w:id="88"/>
      <w:r/>
      <w:bookmarkStart w:id="89" w:name="_Hlt26670482"/>
      <w:r/>
      <w:bookmarkEnd w:id="89"/>
      <w:r/>
      <w:bookmarkStart w:id="90" w:name="_Hlt26954850"/>
      <w:r/>
      <w:bookmarkEnd w:id="90"/>
      <w:r/>
      <w:bookmarkStart w:id="91" w:name="_Hlt26670493"/>
      <w:r/>
      <w:bookmarkEnd w:id="91"/>
      <w:r/>
      <w:bookmarkStart w:id="92" w:name="_Hlt26670425"/>
      <w:r/>
      <w:bookmarkEnd w:id="92"/>
      <w:r/>
      <w:bookmarkStart w:id="93" w:name="_Hlt26954844"/>
      <w:r/>
      <w:bookmarkEnd w:id="93"/>
      <w:r/>
      <w:bookmarkStart w:id="94" w:name="_Hlt26954854"/>
      <w:r/>
      <w:bookmarkEnd w:id="94"/>
      <w:r/>
      <w:bookmarkStart w:id="95" w:name="_Hlt26954848"/>
      <w:r/>
      <w:bookmarkEnd w:id="95"/>
      <w:r/>
      <w:bookmarkStart w:id="96" w:name="_Hlt26954842"/>
      <w:r/>
      <w:bookmarkEnd w:id="96"/>
      <w:r/>
      <w:bookmarkStart w:id="97" w:name="_Toc61149562"/>
      <w:r/>
      <w:bookmarkStart w:id="98" w:name="_Toc513029224"/>
      <w:r/>
      <w:bookmarkStart w:id="99" w:name="_Toc14577362"/>
      <w:r>
        <w:rPr>
          <w:rFonts w:hint="eastAsia" w:ascii="宋体" w:hAnsi="宋体" w:eastAsia="宋体" w:cs="宋体"/>
          <w:color w:val="auto"/>
          <w:highlight w:val="none"/>
        </w:rPr>
        <w:t xml:space="preserve">3.磋商保证金</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依据《关于做好政府采购支持企业发展有关事项的通知》（苏财购〔2020〕52号）文件规定精神，本项目免收磋商保证金。磋商文件中有关磋商保证金的条款均取消。</w:t>
      </w:r>
      <w:r/>
    </w:p>
    <w:p>
      <w:pPr>
        <w:ind w:firstLine="422"/>
        <w:keepLines w:val="0"/>
        <w:keepNext w:val="0"/>
        <w:pageBreakBefore w:val="0"/>
        <w:spacing w:line="52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三、响应文件的递交</w:t>
      </w:r>
      <w:bookmarkEnd w:id="97"/>
      <w:r/>
      <w:bookmarkEnd w:id="98"/>
      <w:r/>
      <w:bookmarkEnd w:id="99"/>
      <w:r/>
      <w:r/>
    </w:p>
    <w:p>
      <w:pPr>
        <w:ind w:firstLine="420"/>
        <w:keepLines w:val="0"/>
        <w:keepNext w:val="0"/>
        <w:pageBreakBefore w:val="0"/>
        <w:spacing w:line="520" w:lineRule="exact"/>
        <w:widowControl w:val="off"/>
        <w:rPr>
          <w:rFonts w:hint="eastAsia" w:ascii="宋体" w:hAnsi="宋体" w:eastAsia="宋体" w:cs="宋体"/>
          <w:color w:val="auto"/>
          <w:highlight w:val="none"/>
        </w:rPr>
      </w:pPr>
      <w:r/>
      <w:bookmarkStart w:id="100" w:name="_Hlt26954856"/>
      <w:r/>
      <w:bookmarkEnd w:id="100"/>
      <w:r/>
      <w:bookmarkStart w:id="101" w:name="_Toc14577363"/>
      <w:r/>
      <w:bookmarkStart w:id="102" w:name="_Toc462564084"/>
      <w:r/>
      <w:bookmarkStart w:id="103" w:name="_Toc61149563"/>
      <w:r/>
      <w:bookmarkStart w:id="104" w:name="_Toc513029225"/>
      <w:r>
        <w:rPr>
          <w:rFonts w:hint="eastAsia" w:ascii="宋体" w:hAnsi="宋体" w:eastAsia="宋体" w:cs="宋体"/>
          <w:color w:val="auto"/>
          <w:highlight w:val="none"/>
        </w:rPr>
        <w:t xml:space="preserve">1.</w:t>
      </w:r>
      <w:bookmarkEnd w:id="101"/>
      <w:r/>
      <w:bookmarkEnd w:id="102"/>
      <w:r/>
      <w:bookmarkEnd w:id="103"/>
      <w:r/>
      <w:bookmarkEnd w:id="104"/>
      <w:r>
        <w:rPr>
          <w:rFonts w:hint="eastAsia" w:ascii="宋体" w:hAnsi="宋体" w:eastAsia="宋体" w:cs="宋体"/>
          <w:color w:val="auto"/>
          <w:highlight w:val="none"/>
        </w:rPr>
        <w:t xml:space="preserve">电子磋商响应文件的递交</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1.1供应商应当按照《操作手册》规定，在提交响应文件截止时间前制作并上传电子响应文件。</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2提交响应文件的截止时间</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2.1供应商上传电子响应文件的时间不得迟于磋商公告中规定的提交响应文件截止时间。</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供应商应充分考虑到网络环境、网络带宽等风险因素，如因供应商自身原因造成的电子响应文件上传不成功的按照本磋商文件第二章第5.3.2条规定作无效响应处理。</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2.2采购人和采购代理机构可以按照规定，通过修改磋商文件酌情延长提交响应文件截止日期，在此情况下，供应商的所有权利和义务以及供应商受制的截止日期均应以延长后新的截止日期为准。</w:t>
      </w:r>
      <w:r/>
    </w:p>
    <w:p>
      <w:pPr>
        <w:ind w:firstLine="420"/>
        <w:keepLines w:val="0"/>
        <w:keepNext w:val="0"/>
        <w:pageBreakBefore w:val="0"/>
        <w:spacing w:line="520" w:lineRule="exact"/>
        <w:widowControl w:val="off"/>
        <w:rPr>
          <w:rFonts w:hint="eastAsia" w:ascii="宋体" w:hAnsi="宋体" w:eastAsia="宋体" w:cs="宋体"/>
          <w:color w:val="auto"/>
          <w:highlight w:val="none"/>
        </w:rPr>
      </w:pPr>
      <w:r/>
      <w:bookmarkStart w:id="105" w:name="_Hlt26954858"/>
      <w:r/>
      <w:bookmarkEnd w:id="105"/>
      <w:r/>
      <w:bookmarkStart w:id="106" w:name="_Hlt26670496"/>
      <w:r/>
      <w:bookmarkEnd w:id="106"/>
      <w:r/>
      <w:bookmarkStart w:id="107" w:name="_Hlt26954752"/>
      <w:r/>
      <w:bookmarkEnd w:id="107"/>
      <w:r/>
      <w:bookmarkStart w:id="108" w:name="_Toc14577364"/>
      <w:r/>
      <w:bookmarkStart w:id="109" w:name="_Toc61149564"/>
      <w:r/>
      <w:bookmarkStart w:id="110" w:name="_Toc513029226"/>
      <w:r>
        <w:rPr>
          <w:rFonts w:hint="eastAsia" w:ascii="宋体" w:hAnsi="宋体" w:eastAsia="宋体" w:cs="宋体"/>
          <w:color w:val="auto"/>
          <w:highlight w:val="none"/>
        </w:rPr>
        <w:t xml:space="preserve">3.响应文件的拒收</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3.1采购人拒绝接收在其规定的提交响应文件截止时间后上传的任何电子响应文件。</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4.响应文件的撤回和修改</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4.1响应文件的撤回</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4.1.1电子响应文件的撤回</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供应商可在提交响应文件截止时间前，撤回其电子响应文件，具体操作方法见《操作手册》。</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4.1.2供应商撤回电子响应文件，则视为其不再参与本项目磋商活动。</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4.2响应文件的修改</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供应商可在提交响应文件截止时间前，对其电子响应文件进行修改，具体操作方法见《操作手册》。</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4.3在提交响应文件截止时间之后，供应商不得对其电子响应文件作任何修改。</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4.4在提交响应文件截止时间至磋商文件中规定的磋商有效期满之间的这段时间内，供应商不得撤回其响应文件。</w:t>
      </w:r>
      <w:r/>
    </w:p>
    <w:p>
      <w:pPr>
        <w:ind w:firstLine="422"/>
        <w:keepLines w:val="0"/>
        <w:keepNext w:val="0"/>
        <w:pageBreakBefore w:val="0"/>
        <w:spacing w:line="52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四、响应文件的解密与评审</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1.响应文件解密</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1.1供应商应当按照《操作手册》规定，在苏采云系统规定的时间内对磋商响应文件进行解密。</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2.磋商小组</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2.1采购代理机构将组织磋商小组对响应文件进行评审。</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2.2磋商小组独立工作，负责评审所有响应文件并确定成交候选人。</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3.评审过程的保密与公正</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3.1磋商小组、采购人和采购代理机构工作人员、相关监督人员等与评审工作有关的人员，对评审情况以及在评审过程中获悉的国家秘密、商业秘密负有保密责任。</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3.2在评审过程中，供应商不得以任何行为影响磋商评审过程，否则其响应文件将被作为无效响应文件。</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3.3在项目评审期间，采购代理机构将设专门人员与供应商联系。</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3.4采购人、代理机构和磋商小组不向未成交的供应商解释未成交原因，也不公布评审过程中的相关细节。</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4.评审过程中的澄清</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磋商小组并非对每个供应商都作澄清要求。</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4.3接到磋商小组澄清、说明和更正要求的供应商如未按规定作出澄清、说明和更正，其风险由供应商自行承担。</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5.对响应文件的审查</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5.1响应文件审查分为资格审查和符合性审查。</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5.1.1资格审查：由磋商小组依据法律法规和磋商文件的规定，对响应文件中的资格证明文件进行审查，以确定供应商是否具备参加磋商的资格。</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磋商小组在进行资格审查的同时，将在“信用中国”网站（www.creditchina.gov.cn）查询供应商的信用记录，以确定供应商是否具备磋商资格。</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5.1.3未通过资格审查或符合性审查的供应商，磋商小组将在苏采云系统中告知未通过资格审查或符合性审查的原因，评审结束后，磋商小组将不再告知未通过资格审查或符合性审查的原因。</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5.2在详细评审之前，磋商小组将首先审查每份响应文件是否实质性响应了磋商文件的要求。实质性响应的响应文件应该是与磋商文件要求的条款、条件和规格相符，没有重大偏离或保留。</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磋商文件规定的实质性要求存在负偏离，或者在实质上与磋商文件不一致，并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5.3未实质性响应磋商文件的情形</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5.3.1供应商在苏采云系统规定的时间内未成功解密电子响应文件的；</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5.3.2供应商未按照磋商文件要求上传电子响应文件的；</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5.3.3同一供应商提交两个（含两个）以上不同的响应文件或者最后报价的；</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5.3.4供应商不具备磋商文件中规定的资格要求的；</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5.3.5供应商的最后报价超过了采购预算或最高限价的；</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5.3.6不符合磋商文件中规定的实质性要求和条件的；</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5.3.7供应商被“信用中国”网站（www.creditchina.gov.cn）列入失信被执行人、重大税收违法</w:t>
      </w:r>
      <w:r>
        <w:rPr>
          <w:rFonts w:hint="eastAsia" w:ascii="宋体" w:hAnsi="宋体" w:cs="宋体"/>
          <w:color w:val="auto"/>
          <w:highlight w:val="none"/>
          <w:lang w:val="en-US" w:eastAsia="zh-CN"/>
        </w:rPr>
        <w:t xml:space="preserve">失信主体</w:t>
      </w:r>
      <w:r>
        <w:rPr>
          <w:rFonts w:hint="eastAsia" w:ascii="宋体" w:hAnsi="宋体" w:eastAsia="宋体" w:cs="宋体"/>
          <w:color w:val="auto"/>
          <w:highlight w:val="none"/>
        </w:rPr>
        <w:t xml:space="preserve">、政府采购严重违法失信行为记录名单。或查询“信用中国”网站后发现供应商存在其他不符合《中华人民共和国政府采购法》第二十二条规定条件的信用记录；</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5.3.8响应文件中含有采购人不能接受的附加条件的；</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5.3.9磋商小组认定供应商的报价明显低于其他通过符合性审查供应商的报价，有可能影响服务质量或者不能诚信履约，且供应商不能应磋商小组要求在合理的时间内提供书面说明，并加盖CA电子公章（必要时磋商小组可要求供应商提交相关证明材料）证明其报价合理性的；</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5.3.10响应文件未按照磋商文件要求加盖CA电子公章的；</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5.3.11标注“★”号，不能满足采购文件要求的；</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5.4未实质性响应磋商文件的响应文件按无效响应处理。</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5.5如果响应文件实质上没有响应磋商文件的要求，磋商小组将予以拒绝，供应商不得通过修改或撤销不符合要求的偏离或保留而使其成为实质性响应的文件。</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5.6供应商在项目评审全过程中应保持通讯畅通，并安排专人与采购代理机构及磋商小组联系。</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6.磋商程序及评审方法和评审标准</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6.1磋商程序</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6.1.1对于通过资格审查和符合性审查的供应商，磋商小组将集中与单一供应商分别进行磋商。</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6.1.2磋商文件能够详细列明采购标的的技术、服务要求的，磋商结束后，磋商小组将在苏采云系统要求所有实质性响应的供应商在规定时间内提交最后报价。</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6.2评审方法和评审标准</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6.2.1评审方法。经磋商确定最终采购需求和提交最后报价的供应商后，由磋商小组采用综合评分法对提交最后报价的供应商的响应文件和最后报价进行综合评分。</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6.2.2评审标准</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详见本磋商文件第五章规定。</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6.3采购活动终止的情况</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出现下列情形之一的，本次竞争性磋商采购活动将被终止：</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6.3.1因情况变化，不再符合规定的竞争性磋商采购方式适用情形的。</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6.3.2出现影响采购公正性的违法、违规行为的。</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6.3.3除本磋商文件第二章第6.1.2条第三款规定的情形外，在采购过程中符合要求的供应商或者最后报价未超过采购预算的供应商不足3家的。</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6.3.4在苏采云系统规定时间内成功解密电子响应文件的供应商不足3家的。</w:t>
      </w:r>
      <w:r/>
    </w:p>
    <w:p>
      <w:pPr>
        <w:ind w:firstLine="422"/>
        <w:keepLines w:val="0"/>
        <w:keepNext w:val="0"/>
        <w:pageBreakBefore w:val="0"/>
        <w:spacing w:line="52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五、成交</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1.确定成交单位</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磋商小组根据综合评分情况，按照评审得分由高到低顺序推荐3名成交候选供应商，并编写评审报告。符合本磋商文件第二章第6.1.2条情形的，可以推荐2名成交候选供应商。评审得分相同的，按照最后报价由低到高的顺序推荐。评审得分且最后报价相同的，按照技术指标优劣顺序推荐。</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1.2采购人从评审报告提出的成交候选供应商中，按照排序由高到低的原则确定成交供应商。采购人确定成交供应商后，采购人将在“江苏政府采购网”发布成交结果公告，公告期限为1个工作日。</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1.3若有充分证据证明，成交供应商出现下列情况之一的，一经查实，将被取消成交资格：</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1.3.1提供虚假材料牟取成交的。</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1.3.2与评审专家、采购人、其他供应商或者采购代理机构工作人员恶意串通的。</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1.3.3向评审专家、采购人或采购代理机构工作人员行贿或者提供其他不正当利益的。</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1.3.5不满足本磋商文件规定的实质性要求，但在评审过程中又未被磋商小组发现的。</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1.3.6成交后无正当理由拒不与采购人签订政府采购合同或者未按照磋商文件确定的事项签订政府采购合同的。</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2.质疑处理</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2.1提出质疑的供应商应当是参与所质疑项目采购活动的供应商。潜在供应商依法获取其可质疑的采购文件的，可以对采购文件提出质疑。</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2.2.1对可以质疑的采购文件提出质疑的，为收到采购文件之日或者采购文件公告期限届满之日。</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2.2.2对采购过程提出质疑的，为各采购程序环节结束之日。</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2.2.3对成交结果提出质疑的，为成交结果公告期限届满之日。</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2.3质疑函必须按照本磋商文件中《质疑函范本》要求的格式和内容进行填写。</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采购人及采购代理机构只接收以纸质原件形式送达的质疑。</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采购人质疑接收人及联系方式见本磋商文件第一章。</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2.5以下情形的质疑不予受理</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2.5.1内容不符合《政府采购质疑和投诉办法》第十二条规定的质疑。</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2.5.2超出政府采购法定期限的质疑。</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2.5.3以传真、电子邮件等方式递交的非原件形式的质疑。</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2.5.4未参加磋商活动的供应商或在磋商活动中自身权益未受到损害的供应商所提出的质疑。</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2.5.5供应商组成联合体参加磋商，联合体中任何一方或多方未按要求签字、盖章、加盖公章的质疑。</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3.成交通知书</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3.2成交通知书将是合同的一个组成部分。对采购人和成交供应商均具有法律效力。成交通知书发出后，采购人改变成交结果的，或者成交供应商放弃成交项目的，应当依法承担法律责任。</w:t>
      </w:r>
      <w:bookmarkEnd w:id="108"/>
      <w:bookmarkEnd w:id="109"/>
      <w:bookmarkEnd w:id="110"/>
      <w:r/>
    </w:p>
    <w:p>
      <w:pPr>
        <w:ind w:firstLine="422"/>
        <w:keepLines w:val="0"/>
        <w:keepNext w:val="0"/>
        <w:pageBreakBefore w:val="0"/>
        <w:spacing w:line="520" w:lineRule="exact"/>
        <w:widowControl w:val="off"/>
        <w:rPr>
          <w:rFonts w:hint="eastAsia" w:ascii="宋体" w:hAnsi="宋体" w:eastAsia="宋体" w:cs="宋体"/>
          <w:b/>
          <w:bCs/>
          <w:color w:val="auto"/>
          <w:highlight w:val="none"/>
        </w:rPr>
      </w:pPr>
      <w:r/>
      <w:bookmarkStart w:id="111" w:name="_Toc16938553"/>
      <w:r/>
      <w:bookmarkStart w:id="112" w:name="_Toc513029237"/>
      <w:r/>
      <w:bookmarkStart w:id="113" w:name="_Toc20823309"/>
      <w:r>
        <w:rPr>
          <w:rFonts w:hint="eastAsia" w:ascii="宋体" w:hAnsi="宋体" w:eastAsia="宋体" w:cs="宋体"/>
          <w:b/>
          <w:bCs/>
          <w:color w:val="auto"/>
          <w:highlight w:val="none"/>
        </w:rPr>
        <w:t xml:space="preserve">六、签订、履行合同</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1.履约保证金：</w:t>
      </w:r>
      <w:bookmarkStart w:id="114" w:name="OLE_LINK68"/>
      <w:r/>
      <w:bookmarkStart w:id="115" w:name="OLE_LINK69"/>
      <w:r/>
      <w:bookmarkStart w:id="116" w:name="OLE_LINK67"/>
      <w:r>
        <w:rPr>
          <w:rFonts w:hint="eastAsia" w:ascii="宋体" w:hAnsi="宋体" w:eastAsia="宋体" w:cs="宋体"/>
          <w:color w:val="auto"/>
          <w:highlight w:val="none"/>
        </w:rPr>
        <w:t xml:space="preserve">成交单位在合同签订前向采购人缴纳（成交价的10%）履约保证金，项目完成并经采购人确认无误后无息退还。</w:t>
      </w:r>
      <w:bookmarkEnd w:id="114"/>
      <w:r/>
      <w:bookmarkEnd w:id="115"/>
      <w:r/>
      <w:bookmarkEnd w:id="116"/>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履约保证金提交形式：银行转账、支票、汇票、本票、金融机构出具的保函或者保证保险等非现金形式。</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2.签订合同</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2.l成交供应商应当在成交通知书发出之日起30日内，按照磋商文件确定的事项与采购人签订政府采购合同。</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2.2磋商文件、成交供应商的响应文件及磋商过程中有关澄清、承诺文件均应作为合同附件。</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3.标的物的追加</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10%。</w:t>
      </w:r>
      <w:r/>
    </w:p>
    <w:p>
      <w:pPr>
        <w:ind w:firstLine="422"/>
        <w:keepLines w:val="0"/>
        <w:keepNext w:val="0"/>
        <w:pageBreakBefore w:val="0"/>
        <w:spacing w:line="52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七、其他事项说明：（落实的相关政策）</w:t>
      </w:r>
      <w:bookmarkEnd w:id="111"/>
      <w:r/>
      <w:bookmarkEnd w:id="112"/>
      <w:r/>
      <w:bookmarkEnd w:id="113"/>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采购项目需要落实的政府采购政策：依据《中华人民共和国政府采购法》《中华人民共和国政府采购法实施条例》和《政府采购竞争性磋商采购方式管理办法》的有关规定，落实政府采购政策。</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（1）《政府采购促进中小企业发展管理办法》--财库〔2020〕46号。</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财政部司法部关于政府采购支持监狱企业发展有关问题的通知－－财库〔2014〕68号，监狱、戒毒企业视同小微企业，享受政府采购相关政策；监狱和戒毒企业须提供由省级以上监狱管理局、戒毒管理局（含新疆生产建设兵团）出具的属于监狱企业的证明文件。</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（3）国务院办公厅关于建立政府强制采购节能产品制度的通知－国办发〔2007〕51号 </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（4）节能产品政府采购实施意见－－财库〔2004〕185号</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（5）环境标志产品政府采购实施的意见－－财库〔2006〕90号</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评审过程中，如涉及，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r/>
    </w:p>
    <w:p>
      <w:pPr>
        <w:ind w:firstLine="420"/>
        <w:keepLines w:val="0"/>
        <w:keepNext w:val="0"/>
        <w:pageBreakBefore w:val="0"/>
        <w:spacing w:line="520" w:lineRule="exact"/>
        <w:widowControl w:val="off"/>
        <w:rPr>
          <w:rFonts w:hint="eastAsia" w:ascii="宋体" w:hAnsi="宋体" w:eastAsia="宋体" w:cs="宋体"/>
          <w:color w:val="auto"/>
          <w:highlight w:val="none"/>
        </w:rPr>
      </w:pPr>
      <w:r/>
      <w:bookmarkStart w:id="117" w:name="OLE_LINK64"/>
      <w:r/>
      <w:bookmarkStart w:id="118" w:name="OLE_LINK65"/>
      <w:r>
        <w:rPr>
          <w:rFonts w:hint="eastAsia" w:ascii="宋体" w:hAnsi="宋体" w:eastAsia="宋体" w:cs="宋体"/>
          <w:color w:val="auto"/>
          <w:highlight w:val="none"/>
        </w:rPr>
        <w:t xml:space="preserve">（6）</w:t>
      </w:r>
      <w:bookmarkEnd w:id="117"/>
      <w:r/>
      <w:bookmarkEnd w:id="118"/>
      <w:r>
        <w:rPr>
          <w:rFonts w:hint="eastAsia" w:ascii="宋体" w:hAnsi="宋体" w:eastAsia="宋体" w:cs="宋体"/>
          <w:color w:val="auto"/>
          <w:highlight w:val="none"/>
        </w:rPr>
        <w:t xml:space="preserve">《关于促进残疾人就业政府采购政策的通知》财库〔2017〕141号</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（7）《电子履约保函（保险）关于在全省政府采购领域推行电子履约保函（保险）的通知（苏财购〔2023〕150 号）》</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财政部民政部中国残疾人联合会关于促进残疾人就业政府采购政策的通知》财库〔2017〕141号，符合条件的残疾人福利性单位在参加政府采购活动时，应当提供本通知规定的《残疾人福利性单位声明函》（见附件），并对声明的真实性负责。成交供应商为残疾人福利性单位的，采购人或者其委托的采购代理机构应当随成交结果同时公告其《残疾人福利性单位声明函》，接受社会监督。供应商提供的《残疾人福利性单位声明函》与事实不符的，依照《中华人民共和国政府采购法》第七十七条第一款的规定追究法律责任。</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（8）参照《关于印发中小企业划型标准规定的通知》（工信部联合企业﹝2011﹞300号）文件，本项目采购标的所属行业为</w:t>
      </w:r>
      <w:r>
        <w:rPr>
          <w:rFonts w:hint="eastAsia" w:ascii="宋体" w:hAnsi="宋体" w:eastAsia="宋体" w:cs="宋体"/>
          <w:b/>
          <w:bCs/>
          <w:color w:val="auto"/>
          <w:highlight w:val="none"/>
          <w:u w:val="single"/>
        </w:rPr>
        <w:t xml:space="preserve">其他未列明行业</w:t>
      </w:r>
      <w:r>
        <w:rPr>
          <w:rFonts w:hint="eastAsia" w:ascii="宋体" w:hAnsi="宋体" w:eastAsia="宋体" w:cs="宋体"/>
          <w:color w:val="auto"/>
          <w:highlight w:val="none"/>
        </w:rPr>
        <w:t xml:space="preserve">。</w:t>
      </w:r>
      <w:r/>
    </w:p>
    <w:p>
      <w:pPr>
        <w:ind w:firstLine="422"/>
        <w:keepLines w:val="0"/>
        <w:keepNext w:val="0"/>
        <w:pageBreakBefore w:val="0"/>
        <w:spacing w:line="52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八、关于异常低价的审查</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根据财库〔2026〕2号文《财政部关于推动解决政府采购异常低价问题的通知》：</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政府采购评审中出现下列情形之一的，评审委员会应当启动异常低价投标（响应）审查程序：</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rPr>
        <w:t xml:space="preserve">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rPr>
        <w:t xml:space="preserve">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1.3</w:t>
      </w:r>
      <w:r>
        <w:rPr>
          <w:rFonts w:hint="eastAsia" w:ascii="宋体" w:hAnsi="宋体" w:eastAsia="宋体" w:cs="宋体"/>
          <w:color w:val="auto"/>
          <w:highlight w:val="none"/>
        </w:rPr>
        <w:t xml:space="preserve">投标（响应）报价低于采购项目最高限价45%的，即投标（响应）报价&lt;采购项目最高限价×45%；</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1.4</w:t>
      </w:r>
      <w:r>
        <w:rPr>
          <w:rFonts w:hint="eastAsia" w:ascii="宋体" w:hAnsi="宋体" w:eastAsia="宋体" w:cs="宋体"/>
          <w:color w:val="auto"/>
          <w:highlight w:val="none"/>
        </w:rPr>
        <w:t xml:space="preserve">评审委员会基于专业判断，认为供应商报价过低，有可能影响产品质量或者不能诚信履约的其他情形。</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jc w:val="center"/>
        <w:keepNext w:val="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黑体" w:hAnsi="黑体" w:eastAsia="黑体" w:cs="黑体"/>
          <w:color w:val="auto"/>
          <w:sz w:val="32"/>
          <w:szCs w:val="32"/>
          <w:highlight w:val="none"/>
        </w:rPr>
        <w:t xml:space="preserve">第三章  合同条款及格式（参考）</w:t>
      </w:r>
      <w:r/>
    </w:p>
    <w:p>
      <w:pPr>
        <w:pStyle w:val="885"/>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Cs w:val="32"/>
          <w:highlight w:val="none"/>
        </w:rPr>
        <w:t xml:space="preserve">政府采购合同</w:t>
      </w:r>
      <w:r/>
    </w:p>
    <w:p>
      <w:pPr>
        <w:pStyle w:val="885"/>
        <w:ind w:firstLine="0"/>
        <w:keepLines w:val="0"/>
        <w:keepNext w:val="0"/>
        <w:pageBreakBefore w:val="0"/>
        <w:spacing w:line="52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项目名称：</w:t>
      </w:r>
      <w:r>
        <w:rPr>
          <w:rFonts w:hint="eastAsia" w:ascii="宋体" w:hAnsi="宋体" w:eastAsia="宋体" w:cs="宋体"/>
          <w:color w:val="auto"/>
          <w:sz w:val="21"/>
          <w:szCs w:val="21"/>
          <w:highlight w:val="none"/>
          <w:lang w:eastAsia="zh-CN"/>
        </w:rPr>
        <w:t xml:space="preserve">九龙镇道路保洁、垃圾收集服务项目（</w:t>
      </w:r>
      <w:r>
        <w:rPr>
          <w:rFonts w:hint="eastAsia" w:ascii="宋体" w:hAnsi="宋体" w:eastAsia="宋体" w:cs="宋体"/>
          <w:color w:val="auto"/>
          <w:sz w:val="21"/>
          <w:szCs w:val="21"/>
          <w:highlight w:val="none"/>
          <w:lang w:val="en-US" w:eastAsia="zh-CN"/>
        </w:rPr>
        <w:t xml:space="preserve">采购包</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w:t>
      </w:r>
      <w:r/>
    </w:p>
    <w:p>
      <w:pPr>
        <w:pStyle w:val="885"/>
        <w:ind w:firstLine="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编号：</w:t>
      </w:r>
      <w:r/>
    </w:p>
    <w:p>
      <w:pPr>
        <w:pStyle w:val="885"/>
        <w:ind w:firstLine="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甲方（采购人/买方）：</w:t>
      </w:r>
      <w:r/>
    </w:p>
    <w:p>
      <w:pPr>
        <w:pStyle w:val="885"/>
        <w:ind w:firstLine="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乙方（供应商/卖方）：</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根据《中华人民共和国政府采购法》《中华人民共和国民法典》及其他相关法律法规的规定，本着平等、自愿、公平互利的原则，双方就</w:t>
      </w:r>
      <w:r>
        <w:rPr>
          <w:rFonts w:hint="eastAsia" w:ascii="宋体" w:hAnsi="宋体" w:eastAsia="宋体" w:cs="宋体"/>
          <w:color w:val="auto"/>
          <w:sz w:val="21"/>
          <w:szCs w:val="21"/>
          <w:highlight w:val="none"/>
          <w:lang w:eastAsia="zh-CN"/>
        </w:rPr>
        <w:t xml:space="preserve">九龙镇道路保洁、垃圾收集服务项目（</w:t>
      </w:r>
      <w:r>
        <w:rPr>
          <w:rFonts w:hint="eastAsia" w:ascii="宋体" w:hAnsi="宋体" w:eastAsia="宋体" w:cs="宋体"/>
          <w:color w:val="auto"/>
          <w:sz w:val="21"/>
          <w:szCs w:val="21"/>
          <w:highlight w:val="none"/>
          <w:lang w:val="en-US" w:eastAsia="zh-CN"/>
        </w:rPr>
        <w:t xml:space="preserve">采购包</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相关事宜，</w:t>
      </w:r>
      <w:r>
        <w:rPr>
          <w:rFonts w:hint="eastAsia" w:ascii="宋体" w:hAnsi="宋体" w:eastAsia="宋体" w:cs="宋体"/>
          <w:color w:val="auto"/>
          <w:sz w:val="21"/>
          <w:szCs w:val="21"/>
          <w:highlight w:val="none"/>
          <w:lang w:eastAsia="en-US"/>
        </w:rPr>
        <w:t xml:space="preserve">经协商一致，达成以下</w:t>
      </w:r>
      <w:r>
        <w:rPr>
          <w:rFonts w:hint="eastAsia" w:ascii="宋体" w:hAnsi="宋体" w:eastAsia="宋体" w:cs="宋体"/>
          <w:color w:val="auto"/>
          <w:sz w:val="21"/>
          <w:szCs w:val="21"/>
          <w:highlight w:val="none"/>
        </w:rPr>
        <w:t xml:space="preserve">协议。</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1.合同标的</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乙方根据甲方需求，提供下列服务：</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服务内容等要求详见采购文件。</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2.合同金额</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本合同为固定总价合同，金额为（大写）：________________元人民币（¥_____元）。</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3.组成本合同的有关文件</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3.1乙方应按采购文件规定的时间向甲方提供服务的有关技术资料。</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3.2没有甲方事先书面同意，乙方不得将由甲方提供的有关合同或任何合同条文或资料提供给任何其他人。即使向履行本合同有关的人员提供，也应注意保密并限于履行合同的必需范围。</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3.3关于本项目政府采购的采购文件或与本次采购活动方式相适应的文件及有关附件是本合同不可分割的组成部分，这些文件包括但不限于：</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（1）采购文件；</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（2）响应文件；</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（3）最终报价；</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（4）服务承诺；</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（5）成交通知书；</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（6）甲乙双方补充协议；</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（7）乙方磋商时提供的响应文件。</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4.知识产权保证</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乙方保证甲方在使用、接受本合同服务或其任何一部分时，不受第三方提出侵犯其专利权、版权、商标权和工业设计权等知识产权的起诉。一旦出现侵权，由乙方负全部责任。</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5.产权保证</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乙方保证所交付的服务和服务所涉及的物品所有权无任何抵押、查封等权利瑕疵。</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6.履约保证金</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6.1成交单位在合同签订前向采购人缴纳（成交价的10%）履约保证金，项目完成并经采购人确认无误后无息退还。</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履约保证金用以约束乙方在合同履行中的行为，弥补合同执行中由于自身行为可能给采购人带来的各种损失。如果成交供应商不同意按照规定去做，采购人有权取消本次采购成交决定，并追究成交供应商的一切相关责任。</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7.服务期</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服务期：</w:t>
      </w:r>
      <w:r>
        <w:rPr>
          <w:rFonts w:hint="eastAsia" w:ascii="宋体" w:hAnsi="宋体" w:eastAsia="宋体" w:cs="宋体"/>
          <w:color w:val="auto"/>
          <w:sz w:val="21"/>
          <w:szCs w:val="21"/>
          <w:highlight w:val="none"/>
          <w:lang w:val="en-US" w:eastAsia="zh-CN"/>
        </w:rPr>
        <w:t xml:space="preserve">一年</w:t>
      </w:r>
      <w:r>
        <w:rPr>
          <w:rFonts w:hint="eastAsia" w:ascii="宋体" w:hAnsi="宋体" w:eastAsia="宋体" w:cs="宋体"/>
          <w:color w:val="auto"/>
          <w:sz w:val="21"/>
          <w:szCs w:val="21"/>
          <w:highlight w:val="none"/>
        </w:rPr>
        <w:t xml:space="preserve">。</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8.服务地点</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服务地点：甲方项目服务地点。</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9.付款方式</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u w:val="single"/>
          <w:lang w:val="en-US" w:eastAsia="zh-CN"/>
        </w:rPr>
        <w:t xml:space="preserve"> 按季拨付，每次支付合同价的25%，若根据考核结果有扣除费用，则每次支付金额为年度合同价的25%减去考核扣除费用，由乙方提供每次支付金额的发票后，甲方支付款项 </w:t>
      </w:r>
      <w:r>
        <w:rPr>
          <w:rFonts w:hint="eastAsia" w:ascii="宋体" w:hAnsi="宋体" w:eastAsia="宋体" w:cs="宋体"/>
          <w:color w:val="auto"/>
          <w:sz w:val="21"/>
          <w:szCs w:val="21"/>
          <w:highlight w:val="none"/>
          <w:lang w:eastAsia="zh-CN"/>
        </w:rPr>
        <w:t xml:space="preserve">。</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10.税费</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本合同执行中相关的一切税费均由乙方负担。</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11.质量保证及服务</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11.1乙方应按采购文件规定及响应文件承诺的服务要求、质量标准向甲方提供服务；若无特殊说明，则按国家有关部门最新颁布的标准及规范为准。</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11.2乙方应保证其提供的服务是全面和规范的，并完全符合采购文件。如因乙方提供的服务有瑕疵造成甲方损失的，所需费用由乙方承担。</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11.3如在服务过程中发生质量、安全问题，乙方在接到甲方通知后在1小时内到达甲方现场。</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12.违约责任</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12.1合同生效后，发现乙方投标属虚假承诺，或违反合同要求，甲方有权解除合同。履约保证金不予退还，如有其他损失，乙方应予赔偿。</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乙方所提供的服务成果不符合本项目规定的，甲方有权拒收，乙方在得到甲方通知之日起个工作日内采取补救措施，逾期仍未采取有效措施的，甲方有权要求乙方赔偿因此造成的损失，同时乙方应向甲方支付合同总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的违约金。</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12.3乙方无正当理由逾期提供服务的，每逾期1天，乙方向甲方偿付合同总额的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的违约金。如乙方逾期达</w:t>
      </w:r>
      <w:r>
        <w:rPr>
          <w:rFonts w:hint="eastAsia" w:ascii="宋体" w:hAnsi="宋体" w:eastAsia="宋体" w:cs="宋体"/>
          <w:color w:val="auto"/>
          <w:sz w:val="21"/>
          <w:szCs w:val="21"/>
          <w:highlight w:val="none"/>
          <w:u w:val="single"/>
        </w:rPr>
        <w:t xml:space="preserve">     天</w:t>
      </w:r>
      <w:r>
        <w:rPr>
          <w:rFonts w:hint="eastAsia" w:ascii="宋体" w:hAnsi="宋体" w:eastAsia="宋体" w:cs="宋体"/>
          <w:color w:val="auto"/>
          <w:sz w:val="21"/>
          <w:szCs w:val="21"/>
          <w:highlight w:val="none"/>
        </w:rPr>
        <w:t xml:space="preserve">，甲方有权解除合同，甲方解除合同的通知自到达乙方时生效。在此情况下，乙方给甲方造成的实际损失高于违约金的，对高出违约金的部分乙方应予以赔偿。</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12.4.因甲方的原因此项目出现重大变故，就乙方已实施的部门进行合同价款的支付；</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12.5其它未尽事宜，以《中华人民共和国民法典》和《中华人民共和国政府采购法》等有关法律法规规定为准，无相关规定的，双方协商解决。</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13.不可抗力事件处理</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不可抗力事件发生后，应立即通知乙方。除甲方书面另行要求外，乙方应尽实际可能继续履行合同义务，以及寻求采取合理的方案履行不受不可抗力影响的其他事项。若不可抗力事件延续120天以上，双方应通过友好协商，确定是否继续履行合同。不可抗力期间，未提供项目服务，服务费用减半支付。</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14.争议解决</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14.1因履行本合同引起的或与本合同有关的争议，甲、乙双方应首先通过友好协商解决；协商不成的，向甲方所在地有管辖权的人民法院提起诉讼，适用中华人民共和国法律；</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14.2若甲乙双方任何一方都没有选择解除合同的，为避免扩大损失，在诉讼期间，双方应继续履行合同。</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15.合同其它</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15.1乙方应诚实信用，严格按照采购文件要求和承诺履行合同，不向甲方进行商业贿赂或者提供不正当利益。</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15.2乙方所有派驻的人员签订相关劳动和劳务合同，乙方确保合法用工，甲方不承担乙方派驻人员的劳动纠纷、安全事故等责任。</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15.3乙方的人员实行双向管理，遵守国家相关法律法规，服从甲方单位相关规定制度，服务甲方各项工作要求。</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15.4合同经双方法定代表人或授权代表签字并加盖单位公章生效。</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15.5本合同未尽事宜，遵照《中华人民共和国民法典》有关条文执行。</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15.6本合同正本一式肆份，具有同等法律效力，甲方、乙方各执贰份。</w:t>
      </w:r>
      <w:r/>
    </w:p>
    <w:p>
      <w:pPr>
        <w:pStyle w:val="885"/>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甲方：泰州市九龙镇人民政府                 乙方： </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地址： </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                     法定代表人或授权代表：</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联系电话：</w:t>
      </w:r>
      <w:r/>
    </w:p>
    <w:p>
      <w:pPr>
        <w:pStyle w:val="885"/>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                 日期：      年    月    日</w:t>
      </w:r>
      <w:r/>
    </w:p>
    <w:p>
      <w:pPr>
        <w:pStyle w:val="868"/>
        <w:jc w:val="center"/>
        <w:keepNext w:val="0"/>
        <w:rPr>
          <w:rFonts w:hint="eastAsia" w:ascii="宋体" w:hAnsi="宋体" w:eastAsia="宋体" w:cs="宋体"/>
          <w:color w:val="auto"/>
          <w:sz w:val="32"/>
          <w:szCs w:val="32"/>
          <w:highlight w:val="none"/>
        </w:rPr>
      </w:pPr>
      <w:r>
        <w:rPr>
          <w:rFonts w:hint="eastAsia" w:ascii="宋体" w:hAnsi="宋体" w:eastAsia="宋体" w:cs="宋体"/>
          <w:color w:val="auto"/>
          <w:szCs w:val="21"/>
          <w:highlight w:val="none"/>
        </w:rPr>
        <w:br w:type="page" w:clear="all"/>
      </w:r>
      <w:bookmarkStart w:id="119" w:name="_Toc22763"/>
      <w:r>
        <w:rPr>
          <w:rFonts w:hint="eastAsia" w:ascii="黑体" w:hAnsi="黑体" w:eastAsia="黑体" w:cs="黑体"/>
          <w:color w:val="auto"/>
          <w:sz w:val="32"/>
          <w:szCs w:val="32"/>
          <w:highlight w:val="none"/>
        </w:rPr>
        <w:t xml:space="preserve">第四章  项目需求</w:t>
      </w:r>
      <w:bookmarkEnd w:id="119"/>
      <w:r/>
      <w:r/>
    </w:p>
    <w:p>
      <w:pPr>
        <w:pStyle w:val="899"/>
        <w:ind w:firstLine="422"/>
        <w:keepLines w:val="0"/>
        <w:keepNext w:val="0"/>
        <w:pageBreakBefore w:val="0"/>
        <w:spacing w:line="520" w:lineRule="exact"/>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一、管护内容</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1.道路路面保洁，包括沿线商铺门前区域（详见附表）；</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2.道路路牙沿线、广场、硬质化空地等保洁区域的</w:t>
      </w:r>
      <w:r>
        <w:rPr>
          <w:rFonts w:hint="eastAsia" w:ascii="宋体" w:hAnsi="宋体" w:cs="宋体"/>
          <w:b w:val="0"/>
          <w:bCs w:val="0"/>
          <w:color w:val="auto"/>
          <w:highlight w:val="none"/>
          <w:lang w:eastAsia="zh-CN"/>
        </w:rPr>
        <w:t xml:space="preserve">垃圾、</w:t>
      </w:r>
      <w:r>
        <w:rPr>
          <w:rFonts w:hint="eastAsia" w:ascii="宋体" w:hAnsi="宋体" w:eastAsia="宋体" w:cs="宋体"/>
          <w:b w:val="0"/>
          <w:bCs w:val="0"/>
          <w:color w:val="auto"/>
          <w:highlight w:val="none"/>
        </w:rPr>
        <w:t xml:space="preserve">杂草清理；</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3.保洁道路沿线电灯（线）杆、墙面、卷帘门、橱窗、地面等区域的小广告清理；</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4.保洁道路沿线门面房垃圾收集，不包含餐饮店的泔水等厨余垃圾，每天不少于2次登门收集；</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5.道路沿线及部分点位垃圾桶（箱、房）的垃圾清运,包括垃圾桶（箱、房）外乱倒的建筑垃圾、大件垃圾、农废物等暴露垃圾处置，垃圾桶由中标方负责购买、清洗、维护、更换；</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highlight w:val="none"/>
        </w:rPr>
      </w:pPr>
      <w:r>
        <w:rPr>
          <w:rFonts w:hint="eastAsia" w:ascii="宋体" w:hAnsi="宋体" w:cs="宋体"/>
          <w:b w:val="0"/>
          <w:bCs w:val="0"/>
          <w:color w:val="auto"/>
          <w:highlight w:val="none"/>
          <w:lang w:val="en-US" w:eastAsia="zh-CN"/>
        </w:rPr>
        <w:t xml:space="preserve">6</w:t>
      </w:r>
      <w:r>
        <w:rPr>
          <w:rFonts w:hint="eastAsia" w:ascii="宋体" w:hAnsi="宋体" w:eastAsia="宋体" w:cs="宋体"/>
          <w:b w:val="0"/>
          <w:bCs w:val="0"/>
          <w:color w:val="auto"/>
          <w:highlight w:val="none"/>
        </w:rPr>
        <w:t xml:space="preserve">.道路沿线企业门口、小区大门外至主干道区域的保洁；</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highlight w:val="none"/>
        </w:rPr>
      </w:pPr>
      <w:r>
        <w:rPr>
          <w:rFonts w:hint="eastAsia" w:ascii="宋体" w:hAnsi="宋体" w:cs="宋体"/>
          <w:b w:val="0"/>
          <w:bCs w:val="0"/>
          <w:color w:val="auto"/>
          <w:highlight w:val="none"/>
          <w:lang w:val="en-US" w:eastAsia="zh-CN"/>
        </w:rPr>
        <w:t xml:space="preserve">7</w:t>
      </w:r>
      <w:r>
        <w:rPr>
          <w:rFonts w:hint="eastAsia" w:ascii="宋体" w:hAnsi="宋体" w:eastAsia="宋体" w:cs="宋体"/>
          <w:b w:val="0"/>
          <w:bCs w:val="0"/>
          <w:color w:val="auto"/>
          <w:highlight w:val="none"/>
        </w:rPr>
        <w:t xml:space="preserve">.道路沿线绿化带（包括园区道路绿化）及绿化缺失空白区域的垃圾杂物（不含绿化垃圾）清理；</w:t>
      </w:r>
      <w:r>
        <w:rPr>
          <w:rFonts w:hint="eastAsia" w:ascii="宋体" w:hAnsi="宋体" w:eastAsia="宋体" w:cs="宋体"/>
          <w:b w:val="0"/>
          <w:bCs w:val="0"/>
          <w:color w:val="auto"/>
          <w:highlight w:val="none"/>
        </w:rPr>
        <w:tab/>
      </w:r>
      <w:r>
        <w:rPr>
          <w:rFonts w:hint="eastAsia" w:ascii="宋体" w:hAnsi="宋体" w:eastAsia="宋体" w:cs="宋体"/>
          <w:b w:val="0"/>
          <w:bCs w:val="0"/>
          <w:color w:val="auto"/>
          <w:highlight w:val="none"/>
        </w:rPr>
        <w:tab/>
      </w:r>
      <w:r>
        <w:rPr>
          <w:rFonts w:hint="eastAsia" w:ascii="宋体" w:hAnsi="宋体" w:eastAsia="宋体" w:cs="宋体"/>
          <w:b w:val="0"/>
          <w:bCs w:val="0"/>
          <w:color w:val="auto"/>
          <w:highlight w:val="none"/>
        </w:rPr>
        <w:tab/>
      </w:r>
      <w:r>
        <w:rPr>
          <w:rFonts w:hint="eastAsia" w:ascii="宋体" w:hAnsi="宋体" w:eastAsia="宋体" w:cs="宋体"/>
          <w:b w:val="0"/>
          <w:bCs w:val="0"/>
          <w:color w:val="auto"/>
          <w:highlight w:val="none"/>
        </w:rPr>
        <w:tab/>
      </w:r>
      <w:r>
        <w:rPr>
          <w:rFonts w:hint="eastAsia" w:ascii="宋体" w:hAnsi="宋体" w:eastAsia="宋体" w:cs="宋体"/>
          <w:b w:val="0"/>
          <w:bCs w:val="0"/>
          <w:color w:val="auto"/>
          <w:highlight w:val="none"/>
        </w:rPr>
        <w:tab/>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highlight w:val="none"/>
        </w:rPr>
      </w:pPr>
      <w:r>
        <w:rPr>
          <w:rFonts w:hint="eastAsia" w:ascii="宋体" w:hAnsi="宋体" w:cs="宋体"/>
          <w:b w:val="0"/>
          <w:bCs w:val="0"/>
          <w:color w:val="auto"/>
          <w:highlight w:val="none"/>
          <w:lang w:val="en-US" w:eastAsia="zh-CN"/>
        </w:rPr>
        <w:t xml:space="preserve">8</w:t>
      </w:r>
      <w:r>
        <w:rPr>
          <w:rFonts w:hint="eastAsia" w:ascii="宋体" w:hAnsi="宋体" w:eastAsia="宋体" w:cs="宋体"/>
          <w:b w:val="0"/>
          <w:bCs w:val="0"/>
          <w:color w:val="auto"/>
          <w:highlight w:val="none"/>
        </w:rPr>
        <w:t xml:space="preserve">.每年正月集市结束后，进行集场区域</w:t>
      </w:r>
      <w:r>
        <w:rPr>
          <w:rFonts w:hint="eastAsia" w:ascii="宋体" w:hAnsi="宋体" w:cs="宋体"/>
          <w:b w:val="0"/>
          <w:bCs w:val="0"/>
          <w:color w:val="auto"/>
          <w:highlight w:val="none"/>
          <w:lang w:eastAsia="zh-CN"/>
        </w:rPr>
        <w:t xml:space="preserve">（主要包括龙轩路、明星路等）</w:t>
      </w:r>
      <w:r>
        <w:rPr>
          <w:rFonts w:hint="eastAsia" w:ascii="宋体" w:hAnsi="宋体" w:eastAsia="宋体" w:cs="宋体"/>
          <w:b w:val="0"/>
          <w:bCs w:val="0"/>
          <w:color w:val="auto"/>
          <w:highlight w:val="none"/>
        </w:rPr>
        <w:t xml:space="preserve">的集中清扫；</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highlight w:val="none"/>
        </w:rPr>
      </w:pPr>
      <w:r>
        <w:rPr>
          <w:rFonts w:hint="eastAsia" w:ascii="宋体" w:hAnsi="宋体" w:cs="宋体"/>
          <w:b w:val="0"/>
          <w:bCs w:val="0"/>
          <w:color w:val="auto"/>
          <w:highlight w:val="none"/>
          <w:lang w:val="en-US" w:eastAsia="zh-CN"/>
        </w:rPr>
        <w:t xml:space="preserve">9</w:t>
      </w:r>
      <w:r>
        <w:rPr>
          <w:rFonts w:hint="eastAsia" w:ascii="宋体" w:hAnsi="宋体" w:eastAsia="宋体" w:cs="宋体"/>
          <w:b w:val="0"/>
          <w:bCs w:val="0"/>
          <w:color w:val="auto"/>
          <w:highlight w:val="none"/>
        </w:rPr>
        <w:t xml:space="preserve">.需基于现状对部分区域进行集中整治</w:t>
      </w:r>
      <w:r>
        <w:rPr>
          <w:rFonts w:hint="eastAsia" w:ascii="宋体" w:hAnsi="宋体" w:cs="宋体"/>
          <w:b w:val="0"/>
          <w:bCs w:val="0"/>
          <w:color w:val="auto"/>
          <w:highlight w:val="none"/>
          <w:lang w:eastAsia="zh-CN"/>
        </w:rPr>
        <w:t xml:space="preserve">并</w:t>
      </w:r>
      <w:r>
        <w:rPr>
          <w:rFonts w:hint="eastAsia" w:ascii="宋体" w:hAnsi="宋体" w:eastAsia="宋体" w:cs="宋体"/>
          <w:b w:val="0"/>
          <w:bCs w:val="0"/>
          <w:color w:val="auto"/>
          <w:highlight w:val="none"/>
        </w:rPr>
        <w:t xml:space="preserve">常态化管护，例如</w:t>
      </w:r>
      <w:r>
        <w:rPr>
          <w:rFonts w:hint="eastAsia" w:ascii="宋体" w:hAnsi="宋体" w:cs="宋体"/>
          <w:b w:val="0"/>
          <w:bCs w:val="0"/>
          <w:color w:val="auto"/>
          <w:highlight w:val="none"/>
          <w:lang w:eastAsia="zh-CN"/>
        </w:rPr>
        <w:t xml:space="preserve">河北路沿线绿化带垃圾、</w:t>
      </w:r>
      <w:r>
        <w:rPr>
          <w:rFonts w:hint="eastAsia" w:ascii="宋体" w:hAnsi="宋体" w:eastAsia="宋体" w:cs="宋体"/>
          <w:b w:val="0"/>
          <w:bCs w:val="0"/>
          <w:color w:val="auto"/>
          <w:highlight w:val="none"/>
        </w:rPr>
        <w:t xml:space="preserve">罗兰金都南侧积存垃圾清理、水岸豪庭北侧绿化带沿线垃圾清理等。</w:t>
      </w:r>
      <w:r/>
    </w:p>
    <w:p>
      <w:pPr>
        <w:pStyle w:val="899"/>
        <w:ind w:firstLine="422"/>
        <w:keepLines w:val="0"/>
        <w:keepNext w:val="0"/>
        <w:pageBreakBefore w:val="0"/>
        <w:spacing w:line="52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二、管护要求</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（一）人员设备</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采购包1人员配置：项目总人数44名，包括项目负责人、项目现场管理员、机动车驾驶员、清扫保洁人员、垃圾收集转运人员等；采购包2人员配置：项目总人数25名，包括项目负责人、项目现场管理员、机动车驾驶员、清扫保洁人员、垃圾收集转运人员等。</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项目负责人和项目现场管理员需要常态化加强保洁人员的安全教育与检查，落实各项安全责任和措施，一切安全责任由中标人负责。</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w:t>
      </w:r>
      <w:r>
        <w:rPr>
          <w:rFonts w:hint="eastAsia" w:ascii="宋体" w:hAnsi="宋体" w:cs="宋体"/>
          <w:b w:val="0"/>
          <w:bCs w:val="0"/>
          <w:color w:val="auto"/>
          <w:sz w:val="21"/>
          <w:szCs w:val="21"/>
          <w:highlight w:val="none"/>
          <w:lang w:val="en-US" w:eastAsia="zh-CN" w:bidi="ar-SA"/>
        </w:rPr>
        <w:t xml:space="preserve">.成交供应商</w:t>
      </w:r>
      <w:r>
        <w:rPr>
          <w:rFonts w:hint="eastAsia" w:ascii="宋体" w:hAnsi="宋体" w:eastAsia="宋体" w:cs="宋体"/>
          <w:b w:val="0"/>
          <w:bCs w:val="0"/>
          <w:color w:val="auto"/>
          <w:sz w:val="21"/>
          <w:szCs w:val="21"/>
          <w:highlight w:val="none"/>
          <w:lang w:val="en-US" w:eastAsia="zh-CN" w:bidi="ar-SA"/>
        </w:rPr>
        <w:t xml:space="preserve">所有车辆必须证件齐全，缴纳各项保险，一切安全责任由</w:t>
      </w:r>
      <w:r>
        <w:rPr>
          <w:rFonts w:hint="eastAsia" w:ascii="宋体" w:hAnsi="宋体" w:cs="宋体"/>
          <w:b w:val="0"/>
          <w:bCs w:val="0"/>
          <w:color w:val="auto"/>
          <w:sz w:val="21"/>
          <w:szCs w:val="21"/>
          <w:highlight w:val="none"/>
          <w:lang w:val="en-US" w:eastAsia="zh-CN" w:bidi="ar-SA"/>
        </w:rPr>
        <w:t xml:space="preserve">成交供应商</w:t>
      </w:r>
      <w:r>
        <w:rPr>
          <w:rFonts w:hint="eastAsia" w:ascii="宋体" w:hAnsi="宋体" w:eastAsia="宋体" w:cs="宋体"/>
          <w:b w:val="0"/>
          <w:bCs w:val="0"/>
          <w:color w:val="auto"/>
          <w:sz w:val="21"/>
          <w:szCs w:val="21"/>
          <w:highlight w:val="none"/>
          <w:lang w:val="en-US" w:eastAsia="zh-CN" w:bidi="ar-SA"/>
        </w:rPr>
        <w:t xml:space="preserve">负责。</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（二）道路保洁</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清扫保洁实行上午、下午各一遍集中清扫，上午要在8:00前结束（有迎检任务等特殊情况除外），其余时间实行巡回保洁，路面无积灰、基本见本色。每日作业时间</w:t>
      </w:r>
      <w:r>
        <w:rPr>
          <w:rFonts w:hint="eastAsia" w:ascii="宋体" w:hAnsi="宋体" w:cs="宋体"/>
          <w:b w:val="0"/>
          <w:bCs w:val="0"/>
          <w:color w:val="auto"/>
          <w:sz w:val="21"/>
          <w:szCs w:val="21"/>
          <w:highlight w:val="none"/>
          <w:lang w:val="en-US" w:eastAsia="zh-CN" w:bidi="ar-SA"/>
        </w:rPr>
        <w:t xml:space="preserve">不低于12小时（原则上为上午5:00至12:00，下午13:00至18:00，具体时间可根据季节变化调整），路面保洁人员可实行两班制。</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全路段保洁无死角、无暴露垃圾和零星白色垃圾，保洁道路与后街背巷交界处清扫保洁向内外各延伸5米。</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主干道机动车道保洁以机械清扫为主，机械作业尽量避开上下班交通高峰期，并辅助必要的人工清扫，保持路面清洁、无杂物，</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降雪天气及时组织铲雪作业，融雪后，路面杂物要及时清扫干净；降雨天气时要组织人员对道路下水口进行巡查、清理，确保排水畅通；平时要及时清除道路下水口障碍物。</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5</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所有保洁人员在作业时，穿统一制式工作服（马甲），服装上的单位字样统一设置。</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无条件高质量完成重大检查、重要保障任务、突击任务时的清扫保洁工作，能够配合招标人增加保洁员进行突击整治。</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7</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及时清除道路沿线小广告、牛皮癣和破损横幅，每天安排不少于1名人员专职负责小广告巡查、清理工作。在采用覆盖手段清除时，注意覆盖颜色与周边环境协调。</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8</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路面及下水口油污及时清洗。</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9</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确保绿岛、绿化带内无白色垃圾、无杂物</w:t>
      </w:r>
      <w:r>
        <w:rPr>
          <w:rFonts w:hint="eastAsia" w:ascii="宋体" w:hAnsi="宋体" w:cs="宋体"/>
          <w:b w:val="0"/>
          <w:bCs w:val="0"/>
          <w:color w:val="auto"/>
          <w:sz w:val="21"/>
          <w:szCs w:val="21"/>
          <w:highlight w:val="none"/>
          <w:lang w:val="en-US" w:eastAsia="zh-CN" w:bidi="ar-SA"/>
        </w:rPr>
        <w:t xml:space="preserve">。</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10.及时对道路路牙沿线、广场、硬质化空地等保洁区域的垃圾、杂草进行清理。</w:t>
      </w:r>
      <w:r/>
    </w:p>
    <w:p>
      <w:pPr>
        <w:pStyle w:val="899"/>
        <w:ind w:firstLine="420"/>
        <w:keepLines w:val="0"/>
        <w:keepNext w:val="0"/>
        <w:pageBreakBefore w:val="0"/>
        <w:spacing w:line="520" w:lineRule="exact"/>
        <w:widowControl w:val="off"/>
        <w:rPr>
          <w:rFonts w:hint="default" w:ascii="宋体" w:hAnsi="宋体" w:eastAsia="宋体" w:cs="宋体"/>
          <w:b w:val="0"/>
          <w:bCs w:val="0"/>
          <w:color w:val="auto"/>
          <w:sz w:val="21"/>
          <w:szCs w:val="21"/>
          <w:highlight w:val="none"/>
          <w:lang w:val="en-US" w:eastAsia="zh-CN" w:bidi="ar-SA"/>
        </w:rPr>
      </w:pPr>
      <w:r>
        <w:rPr>
          <w:rFonts w:hint="default" w:ascii="宋体" w:hAnsi="宋体" w:eastAsia="宋体" w:cs="宋体"/>
          <w:b w:val="0"/>
          <w:bCs w:val="0"/>
          <w:color w:val="auto"/>
          <w:sz w:val="21"/>
          <w:szCs w:val="21"/>
          <w:highlight w:val="none"/>
          <w:lang w:val="en-US" w:eastAsia="zh-CN" w:bidi="ar-SA"/>
        </w:rPr>
        <w:t xml:space="preserve">11.</w:t>
      </w:r>
      <w:r>
        <w:rPr>
          <w:rFonts w:hint="eastAsia" w:ascii="宋体" w:hAnsi="宋体" w:cs="宋体"/>
          <w:b w:val="0"/>
          <w:bCs w:val="0"/>
          <w:color w:val="auto"/>
          <w:sz w:val="21"/>
          <w:szCs w:val="21"/>
          <w:highlight w:val="none"/>
          <w:lang w:val="en-US" w:eastAsia="zh-CN" w:bidi="ar-SA"/>
        </w:rPr>
        <w:t xml:space="preserve">及时清理道路沿线乱堆放的农业废弃物、秸秆等，不含每年两季秸秆集中清理。</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default" w:ascii="宋体" w:hAnsi="宋体" w:eastAsia="宋体" w:cs="宋体"/>
          <w:b w:val="0"/>
          <w:bCs w:val="0"/>
          <w:color w:val="auto"/>
          <w:sz w:val="21"/>
          <w:szCs w:val="21"/>
          <w:highlight w:val="none"/>
          <w:lang w:val="en-US" w:eastAsia="zh-CN" w:bidi="ar-SA"/>
        </w:rPr>
        <w:t xml:space="preserve">12</w:t>
      </w:r>
      <w:r>
        <w:rPr>
          <w:rFonts w:hint="eastAsia" w:ascii="宋体" w:hAnsi="宋体" w:eastAsia="宋体" w:cs="宋体"/>
          <w:b w:val="0"/>
          <w:bCs w:val="0"/>
          <w:color w:val="auto"/>
          <w:sz w:val="21"/>
          <w:szCs w:val="21"/>
          <w:highlight w:val="none"/>
          <w:lang w:val="en-US" w:eastAsia="zh-CN" w:bidi="ar-SA"/>
        </w:rPr>
        <w:t xml:space="preserve">.本项目所需要的保洁工具、车辆等由供应商自备。</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（三）垃圾收集</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沿街商铺、住户的垃圾收集要做到每天上午至少收集1次、下午至少收集1次，特殊点位</w:t>
      </w:r>
      <w:r>
        <w:rPr>
          <w:rFonts w:hint="eastAsia" w:ascii="宋体" w:hAnsi="宋体" w:cs="宋体"/>
          <w:b w:val="0"/>
          <w:bCs w:val="0"/>
          <w:color w:val="auto"/>
          <w:sz w:val="21"/>
          <w:szCs w:val="21"/>
          <w:highlight w:val="none"/>
          <w:lang w:val="en-US" w:eastAsia="zh-CN" w:bidi="ar-SA"/>
        </w:rPr>
        <w:t xml:space="preserve">、特殊时段要服从采购人及时增加收集频次</w:t>
      </w:r>
      <w:r>
        <w:rPr>
          <w:rFonts w:hint="eastAsia" w:ascii="宋体" w:hAnsi="宋体" w:eastAsia="宋体" w:cs="宋体"/>
          <w:b w:val="0"/>
          <w:bCs w:val="0"/>
          <w:color w:val="auto"/>
          <w:sz w:val="21"/>
          <w:szCs w:val="21"/>
          <w:highlight w:val="none"/>
          <w:lang w:val="en-US" w:eastAsia="zh-CN" w:bidi="ar-SA"/>
        </w:rPr>
        <w:t xml:space="preserve">，确保无垃圾乱抛现象。</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垃圾池（桶）及外溢生活垃圾需及时清理，每天集中清理不少于2次，特殊点位</w:t>
      </w:r>
      <w:r>
        <w:rPr>
          <w:rFonts w:hint="eastAsia" w:ascii="宋体" w:hAnsi="宋体" w:cs="宋体"/>
          <w:b w:val="0"/>
          <w:bCs w:val="0"/>
          <w:color w:val="auto"/>
          <w:sz w:val="21"/>
          <w:szCs w:val="21"/>
          <w:highlight w:val="none"/>
          <w:lang w:val="en-US" w:eastAsia="zh-CN" w:bidi="ar-SA"/>
        </w:rPr>
        <w:t xml:space="preserve">、特殊时段要服从采购人及时增加清理频次</w:t>
      </w:r>
      <w:r>
        <w:rPr>
          <w:rFonts w:hint="eastAsia" w:ascii="宋体" w:hAnsi="宋体" w:eastAsia="宋体" w:cs="宋体"/>
          <w:b w:val="0"/>
          <w:bCs w:val="0"/>
          <w:color w:val="auto"/>
          <w:sz w:val="21"/>
          <w:szCs w:val="21"/>
          <w:highlight w:val="none"/>
          <w:lang w:val="en-US" w:eastAsia="zh-CN" w:bidi="ar-SA"/>
        </w:rPr>
        <w:t xml:space="preserve">，确保垃圾收集做到日产日清。</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做好与镇垃圾中转站的协调，服从中转站工作人员的安排、调度，确保每日所收集的生活垃圾及时送至中转站进行处置，不乱倒、填埋或焚烧。</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4</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做好垃圾池（箱</w:t>
      </w:r>
      <w:r>
        <w:rPr>
          <w:rFonts w:hint="eastAsia" w:ascii="宋体" w:hAnsi="宋体" w:cs="宋体"/>
          <w:b w:val="0"/>
          <w:bCs w:val="0"/>
          <w:color w:val="auto"/>
          <w:sz w:val="21"/>
          <w:szCs w:val="21"/>
          <w:highlight w:val="none"/>
          <w:lang w:val="en-US" w:eastAsia="zh-CN" w:bidi="ar-SA"/>
        </w:rPr>
        <w:t xml:space="preserve">、桶</w:t>
      </w:r>
      <w:r>
        <w:rPr>
          <w:rFonts w:hint="eastAsia" w:ascii="宋体" w:hAnsi="宋体" w:eastAsia="宋体" w:cs="宋体"/>
          <w:b w:val="0"/>
          <w:bCs w:val="0"/>
          <w:color w:val="auto"/>
          <w:sz w:val="21"/>
          <w:szCs w:val="21"/>
          <w:highlight w:val="none"/>
          <w:lang w:val="en-US" w:eastAsia="zh-CN" w:bidi="ar-SA"/>
        </w:rPr>
        <w:t xml:space="preserve">）外乱倒的建筑垃圾、大件垃圾等非生活垃圾的分类处置。</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5</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装卸垃圾符合作业要求，收集结束后，垃圾桶放回原地，做到车走地净，确保垃圾桶周围无杂物、散落垃圾和污水。</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垃圾收集车辆在收集运输过程中始终保持封闭，沿途不抛洒滴漏。</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7</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对于发现的道旁乱倒生活垃圾、杂物，接到通知后，30分钟内响应，及时派人清理。</w:t>
      </w:r>
      <w:r/>
    </w:p>
    <w:p>
      <w:pPr>
        <w:pStyle w:val="899"/>
        <w:ind w:firstLine="420"/>
        <w:keepLines w:val="0"/>
        <w:keepNext w:val="0"/>
        <w:pageBreakBefore w:val="0"/>
        <w:spacing w:line="520" w:lineRule="exact"/>
        <w:widowControl w:val="off"/>
        <w:rPr>
          <w:rFonts w:hint="eastAsia" w:ascii="宋体" w:hAnsi="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8.垃圾桶（箱）定期清洗，破损垃圾桶及时更换，保持容器的整洁、完好，做好消毒灭蝇工作。中标单位进场后，一周内按实际垃圾投放需求对各垃圾桶点位进行垃圾桶补充，并对破旧垃圾桶进行更换。</w:t>
      </w:r>
      <w:r/>
    </w:p>
    <w:p>
      <w:pPr>
        <w:pStyle w:val="899"/>
        <w:ind w:firstLine="422"/>
        <w:keepLines w:val="0"/>
        <w:keepNext w:val="0"/>
        <w:pageBreakBefore w:val="0"/>
        <w:spacing w:line="52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三</w:t>
      </w:r>
      <w:r>
        <w:rPr>
          <w:rFonts w:hint="eastAsia" w:ascii="宋体" w:hAnsi="宋体" w:eastAsia="宋体" w:cs="宋体"/>
          <w:b/>
          <w:bCs/>
          <w:color w:val="auto"/>
          <w:sz w:val="21"/>
          <w:szCs w:val="21"/>
          <w:highlight w:val="none"/>
          <w:lang w:val="en-US" w:eastAsia="zh-CN" w:bidi="ar-SA"/>
        </w:rPr>
        <w:t xml:space="preserve">、考核方式</w:t>
      </w:r>
      <w:r/>
    </w:p>
    <w:p>
      <w:pPr>
        <w:pStyle w:val="899"/>
        <w:ind w:firstLine="420"/>
        <w:keepLines w:val="0"/>
        <w:keepNext w:val="0"/>
        <w:pageBreakBefore w:val="0"/>
        <w:spacing w:line="520" w:lineRule="exact"/>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当月度考核（详见附件）得分达到90分</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含90分</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为达标，全额下拨当月服务费用</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达不到90分的，得分每降1分扣除月度服务费用的1%，以此类推。月度考核得分不满80分的，视为当月考核不合格，一年内，累计月度考核得分不满80分达到三次的时候，</w:t>
      </w:r>
      <w:r>
        <w:rPr>
          <w:rFonts w:hint="eastAsia" w:ascii="宋体" w:hAnsi="宋体" w:cs="宋体"/>
          <w:b w:val="0"/>
          <w:bCs w:val="0"/>
          <w:color w:val="auto"/>
          <w:sz w:val="21"/>
          <w:szCs w:val="21"/>
          <w:highlight w:val="none"/>
          <w:lang w:val="en-US" w:eastAsia="zh-CN" w:bidi="ar-SA"/>
        </w:rPr>
        <w:t xml:space="preserve">采购人有权直接</w:t>
      </w:r>
      <w:r>
        <w:rPr>
          <w:rFonts w:hint="eastAsia" w:ascii="宋体" w:hAnsi="宋体" w:eastAsia="宋体" w:cs="宋体"/>
          <w:b w:val="0"/>
          <w:bCs w:val="0"/>
          <w:color w:val="auto"/>
          <w:sz w:val="21"/>
          <w:szCs w:val="21"/>
          <w:highlight w:val="none"/>
          <w:lang w:val="en-US" w:eastAsia="zh-CN" w:bidi="ar-SA"/>
        </w:rPr>
        <w:t xml:space="preserve">取消</w:t>
      </w:r>
      <w:r>
        <w:rPr>
          <w:rFonts w:hint="eastAsia" w:ascii="宋体" w:hAnsi="宋体" w:cs="宋体"/>
          <w:b w:val="0"/>
          <w:bCs w:val="0"/>
          <w:color w:val="auto"/>
          <w:sz w:val="21"/>
          <w:szCs w:val="21"/>
          <w:highlight w:val="none"/>
          <w:lang w:val="en-US" w:eastAsia="zh-CN" w:bidi="ar-SA"/>
        </w:rPr>
        <w:t xml:space="preserve">成交供应商的</w:t>
      </w:r>
      <w:r>
        <w:rPr>
          <w:rFonts w:hint="eastAsia" w:ascii="宋体" w:hAnsi="宋体" w:eastAsia="宋体" w:cs="宋体"/>
          <w:b w:val="0"/>
          <w:bCs w:val="0"/>
          <w:color w:val="auto"/>
          <w:sz w:val="21"/>
          <w:szCs w:val="21"/>
          <w:highlight w:val="none"/>
          <w:lang w:val="en-US" w:eastAsia="zh-CN" w:bidi="ar-SA"/>
        </w:rPr>
        <w:t xml:space="preserve">养护资格。</w:t>
      </w:r>
      <w:r/>
    </w:p>
    <w:p>
      <w:pPr>
        <w:pStyle w:val="899"/>
        <w:ind w:firstLine="422"/>
        <w:keepLines w:val="0"/>
        <w:keepNext w:val="0"/>
        <w:pageBreakBefore w:val="0"/>
        <w:spacing w:line="520" w:lineRule="exact"/>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四</w:t>
      </w:r>
      <w:r>
        <w:rPr>
          <w:rFonts w:hint="eastAsia" w:ascii="宋体" w:hAnsi="宋体" w:eastAsia="宋体" w:cs="宋体"/>
          <w:b/>
          <w:bCs/>
          <w:color w:val="auto"/>
          <w:sz w:val="21"/>
          <w:szCs w:val="21"/>
          <w:highlight w:val="none"/>
          <w:lang w:val="zh-CN" w:eastAsia="zh-CN" w:bidi="ar-SA"/>
        </w:rPr>
        <w:t xml:space="preserve">、</w:t>
      </w:r>
      <w:r>
        <w:rPr>
          <w:rFonts w:hint="eastAsia" w:ascii="宋体" w:hAnsi="宋体" w:eastAsia="宋体" w:cs="宋体"/>
          <w:b/>
          <w:bCs/>
          <w:color w:val="auto"/>
          <w:sz w:val="21"/>
          <w:szCs w:val="21"/>
          <w:highlight w:val="none"/>
          <w:lang w:val="en-US" w:eastAsia="zh-CN" w:bidi="ar-SA"/>
        </w:rPr>
        <w:t xml:space="preserve">商务要求</w:t>
      </w:r>
      <w:r/>
    </w:p>
    <w:p>
      <w:pPr>
        <w:pStyle w:val="899"/>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采用项目总承包方式，磋商报价包括为实施委托项目约定范围内所需的全部费用，包含但不限于供应商人工费用（工资、福利、保险费、食宿费等）、服装、作业车辆、相关耗材费用（含保洁所需相关抹布、卫生容器、垃圾袋、扫帚、洁厕灵等易耗品）、管理费、培训费、税金等。供应商要认真阅读磋商文件及各类规范政策，慎重报价，采购人不再支付其他任何费用，如有漏项采购人视同优惠。</w:t>
      </w:r>
      <w:r/>
    </w:p>
    <w:p>
      <w:pPr>
        <w:pStyle w:val="899"/>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2.合同履行期限：</w:t>
      </w:r>
      <w:r>
        <w:rPr>
          <w:rFonts w:hint="eastAsia" w:ascii="宋体" w:hAnsi="宋体" w:eastAsia="宋体" w:cs="宋体"/>
          <w:color w:val="auto"/>
          <w:sz w:val="21"/>
          <w:szCs w:val="21"/>
          <w:highlight w:val="none"/>
          <w:lang w:val="en-US" w:eastAsia="zh-CN"/>
        </w:rPr>
        <w:t xml:space="preserve">一年</w:t>
      </w:r>
      <w:r>
        <w:rPr>
          <w:rFonts w:hint="eastAsia" w:ascii="宋体" w:hAnsi="宋体" w:eastAsia="宋体" w:cs="宋体"/>
          <w:color w:val="auto"/>
          <w:sz w:val="21"/>
          <w:szCs w:val="21"/>
          <w:highlight w:val="none"/>
        </w:rPr>
        <w:t xml:space="preserve">。</w:t>
      </w:r>
      <w:r/>
    </w:p>
    <w:p>
      <w:pPr>
        <w:pStyle w:val="899"/>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3.本次投标设最高限价为</w:t>
      </w:r>
      <w:r>
        <w:rPr>
          <w:rFonts w:hint="eastAsia" w:ascii="宋体" w:hAnsi="宋体" w:eastAsia="宋体" w:cs="宋体"/>
          <w:b/>
          <w:bCs/>
          <w:color w:val="auto"/>
          <w:sz w:val="21"/>
          <w:szCs w:val="21"/>
          <w:highlight w:val="none"/>
          <w:u w:val="single"/>
        </w:rPr>
        <w:t xml:space="preserve">273.9</w:t>
      </w:r>
      <w:r>
        <w:rPr>
          <w:rFonts w:hint="eastAsia" w:ascii="宋体" w:hAnsi="宋体" w:eastAsia="宋体" w:cs="宋体"/>
          <w:color w:val="auto"/>
          <w:sz w:val="21"/>
          <w:szCs w:val="21"/>
          <w:highlight w:val="none"/>
        </w:rPr>
        <w:t xml:space="preserve">万元，其中采购包1最高限价为</w:t>
      </w:r>
      <w:r>
        <w:rPr>
          <w:rFonts w:hint="eastAsia" w:ascii="宋体" w:hAnsi="宋体" w:eastAsia="宋体" w:cs="宋体"/>
          <w:b/>
          <w:bCs/>
          <w:color w:val="auto"/>
          <w:sz w:val="21"/>
          <w:szCs w:val="21"/>
          <w:highlight w:val="none"/>
          <w:u w:val="single"/>
          <w:lang w:val="en-US" w:eastAsia="zh-CN"/>
        </w:rPr>
        <w:t xml:space="preserve">170</w:t>
      </w:r>
      <w:r>
        <w:rPr>
          <w:rFonts w:hint="eastAsia" w:ascii="宋体" w:hAnsi="宋体" w:eastAsia="宋体" w:cs="宋体"/>
          <w:color w:val="auto"/>
          <w:sz w:val="21"/>
          <w:szCs w:val="21"/>
          <w:highlight w:val="none"/>
        </w:rPr>
        <w:t xml:space="preserve">万元，采购包2最高限价为</w:t>
      </w:r>
      <w:r>
        <w:rPr>
          <w:rFonts w:hint="eastAsia" w:ascii="宋体" w:hAnsi="宋体" w:eastAsia="宋体" w:cs="宋体"/>
          <w:b/>
          <w:bCs/>
          <w:color w:val="auto"/>
          <w:sz w:val="21"/>
          <w:szCs w:val="21"/>
          <w:highlight w:val="none"/>
          <w:u w:val="single"/>
          <w:lang w:val="en-US" w:eastAsia="zh-CN"/>
        </w:rPr>
        <w:t xml:space="preserve">103.9</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各供应商的投标报价不得高于上述限价，否则视为无效响应文件处理。</w:t>
      </w:r>
      <w:r/>
    </w:p>
    <w:p>
      <w:pPr>
        <w:pStyle w:val="899"/>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4.合同形式：固定总价合同。</w:t>
      </w:r>
      <w:r/>
    </w:p>
    <w:p>
      <w:pPr>
        <w:pStyle w:val="899"/>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合同履行中，采购人需追加与合同标的相同的服务的，在不改变合同其他条款的前提下，可以与中标单位协商签订补充合同，但所有补充合同的采购金额不超过原合同金</w:t>
      </w:r>
      <w:r>
        <w:rPr>
          <w:rFonts w:hint="eastAsia" w:ascii="宋体" w:hAnsi="宋体" w:eastAsia="宋体" w:cs="宋体"/>
          <w:color w:val="auto"/>
          <w:sz w:val="21"/>
          <w:szCs w:val="21"/>
          <w:highlight w:val="none"/>
          <w:lang w:eastAsia="zh-CN"/>
        </w:rPr>
        <w:t xml:space="preserve">额的</w:t>
      </w:r>
      <w:r>
        <w:rPr>
          <w:rFonts w:hint="eastAsia" w:ascii="宋体" w:hAnsi="宋体" w:eastAsia="宋体" w:cs="宋体"/>
          <w:color w:val="auto"/>
          <w:sz w:val="21"/>
          <w:szCs w:val="21"/>
          <w:highlight w:val="none"/>
        </w:rPr>
        <w:t xml:space="preserve">10%。</w:t>
      </w:r>
      <w:r/>
    </w:p>
    <w:p>
      <w:pPr>
        <w:pStyle w:val="899"/>
        <w:ind w:firstLine="420"/>
        <w:keepLines w:val="0"/>
        <w:keepNext w:val="0"/>
        <w:pageBreakBefore w:val="0"/>
        <w:spacing w:line="520" w:lineRule="exact"/>
        <w:widowControl w:val="off"/>
        <w:rPr>
          <w:rFonts w:hint="eastAsia" w:ascii="宋体" w:hAnsi="宋体" w:eastAsia="宋体" w:cs="宋体"/>
          <w:color w:val="auto"/>
          <w:spacing w:val="15"/>
          <w:sz w:val="21"/>
          <w:szCs w:val="21"/>
          <w:highlight w:val="none"/>
        </w:rPr>
      </w:pPr>
      <w:r>
        <w:rPr>
          <w:rFonts w:hint="eastAsia" w:ascii="宋体" w:hAnsi="宋体" w:eastAsia="宋体" w:cs="宋体"/>
          <w:color w:val="auto"/>
          <w:sz w:val="21"/>
          <w:szCs w:val="21"/>
          <w:highlight w:val="none"/>
        </w:rPr>
        <w:t xml:space="preserve">5.付款方式：</w:t>
      </w:r>
      <w:r>
        <w:rPr>
          <w:rFonts w:hint="eastAsia" w:ascii="宋体" w:hAnsi="宋体" w:eastAsia="宋体" w:cs="宋体"/>
          <w:color w:val="auto"/>
          <w:spacing w:val="15"/>
          <w:sz w:val="21"/>
          <w:szCs w:val="21"/>
          <w:highlight w:val="none"/>
          <w:lang w:val="en-US" w:eastAsia="zh-CN"/>
        </w:rPr>
        <w:t xml:space="preserve">按季拨付，每次支付合同价的25%，若根据考核结果有扣除费用，则每次支付金额为年度合同价的25%减去考核扣除费用，由</w:t>
      </w:r>
      <w:r>
        <w:rPr>
          <w:rFonts w:hint="eastAsia" w:ascii="宋体" w:hAnsi="宋体" w:cs="宋体"/>
          <w:color w:val="auto"/>
          <w:spacing w:val="15"/>
          <w:sz w:val="21"/>
          <w:szCs w:val="21"/>
          <w:highlight w:val="none"/>
          <w:lang w:val="en-US" w:eastAsia="zh-CN"/>
        </w:rPr>
        <w:t xml:space="preserve">成交供应商</w:t>
      </w:r>
      <w:r>
        <w:rPr>
          <w:rFonts w:hint="eastAsia" w:ascii="宋体" w:hAnsi="宋体" w:eastAsia="宋体" w:cs="宋体"/>
          <w:color w:val="auto"/>
          <w:spacing w:val="15"/>
          <w:sz w:val="21"/>
          <w:szCs w:val="21"/>
          <w:highlight w:val="none"/>
          <w:lang w:val="en-US" w:eastAsia="zh-CN"/>
        </w:rPr>
        <w:t xml:space="preserve">提供每次支付金额的发票后，</w:t>
      </w:r>
      <w:r>
        <w:rPr>
          <w:rFonts w:hint="eastAsia" w:ascii="宋体" w:hAnsi="宋体" w:cs="宋体"/>
          <w:color w:val="auto"/>
          <w:spacing w:val="15"/>
          <w:sz w:val="21"/>
          <w:szCs w:val="21"/>
          <w:highlight w:val="none"/>
          <w:lang w:val="en-US" w:eastAsia="zh-CN"/>
        </w:rPr>
        <w:t xml:space="preserve">采购人</w:t>
      </w:r>
      <w:r>
        <w:rPr>
          <w:rFonts w:hint="eastAsia" w:ascii="宋体" w:hAnsi="宋体" w:eastAsia="宋体" w:cs="宋体"/>
          <w:color w:val="auto"/>
          <w:spacing w:val="15"/>
          <w:sz w:val="21"/>
          <w:szCs w:val="21"/>
          <w:highlight w:val="none"/>
          <w:lang w:val="en-US" w:eastAsia="zh-CN"/>
        </w:rPr>
        <w:t xml:space="preserve">支付款项</w:t>
      </w:r>
      <w:r>
        <w:rPr>
          <w:rFonts w:hint="eastAsia" w:ascii="宋体" w:hAnsi="宋体" w:eastAsia="宋体" w:cs="宋体"/>
          <w:color w:val="auto"/>
          <w:spacing w:val="15"/>
          <w:sz w:val="21"/>
          <w:szCs w:val="21"/>
          <w:highlight w:val="none"/>
        </w:rPr>
        <w:t xml:space="preserve">。</w:t>
      </w:r>
      <w:r/>
    </w:p>
    <w:p>
      <w:pPr>
        <w:pStyle w:val="899"/>
        <w:ind w:firstLine="420"/>
        <w:keepLines w:val="0"/>
        <w:keepNext w:val="0"/>
        <w:pageBreakBefore w:val="0"/>
        <w:spacing w:line="5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履约保证金：本项目履约保证金为成交价的10%（供应商自主选择以电汇、转账、支票、汇票、本票（限泰州同城）、保函、保证保险等非现金形式缴纳或提交），履约保证金在合同签订前缴纳至采购人指定账号，项目验收合格后无违约问题，采购人无息退还履约保证金。</w:t>
      </w:r>
      <w:r/>
    </w:p>
    <w:p>
      <w:pPr>
        <w:pStyle w:val="899"/>
        <w:ind w:firstLine="420"/>
        <w:keepLines w:val="0"/>
        <w:keepNext w:val="0"/>
        <w:pageBreakBefore w:val="0"/>
        <w:spacing w:line="520" w:lineRule="exact"/>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如采用电子履约保函，则相关要求执行市财政局 国家金融监督管理总局泰州监管分局 市地方金融监督管理局转发《江苏省财政厅 国家金融监督管理总局江苏监管局 江苏省地方金融监督管理局关于在全省政府采购领域推行电子履约保函（保险）的通知》。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8"/>
        <w:jc w:val="center"/>
        <w:keepNext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68"/>
        <w:jc w:val="center"/>
        <w:keepNext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68"/>
        <w:jc w:val="center"/>
        <w:keepNext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68"/>
        <w:jc w:val="center"/>
        <w:keepNext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68"/>
        <w:jc w:val="center"/>
        <w:keepNext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68"/>
        <w:jc w:val="center"/>
        <w:keepNext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68"/>
        <w:jc w:val="center"/>
        <w:keepNext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68"/>
        <w:jc w:val="center"/>
        <w:keepNext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68"/>
        <w:jc w:val="both"/>
        <w:keepNext w:val="0"/>
        <w:rPr>
          <w:rFonts w:hint="eastAsia" w:ascii="宋体" w:hAnsi="宋体" w:eastAsia="宋体" w:cs="宋体"/>
          <w:b/>
          <w:bCs/>
          <w:i w:val="0"/>
          <w:iCs w:val="0"/>
          <w:color w:val="auto"/>
          <w:sz w:val="28"/>
          <w:szCs w:val="28"/>
          <w:highlight w:val="none"/>
          <w:u w:val="none"/>
          <w:lang w:val="en-US" w:eastAsia="zh-CN" w:bidi="ar"/>
        </w:rPr>
      </w:pPr>
      <w:r>
        <w:rPr>
          <w:rFonts w:hint="eastAsia" w:ascii="宋体" w:hAnsi="宋体" w:eastAsia="宋体" w:cs="宋体"/>
          <w:b/>
          <w:bCs/>
          <w:i w:val="0"/>
          <w:iCs w:val="0"/>
          <w:color w:val="auto"/>
          <w:sz w:val="28"/>
          <w:szCs w:val="28"/>
          <w:highlight w:val="none"/>
          <w:u w:val="none"/>
          <w:lang w:val="en-US" w:eastAsia="zh-CN" w:bidi="ar"/>
        </w:rPr>
        <w:t xml:space="preserve">附件1：</w:t>
      </w:r>
      <w:r/>
    </w:p>
    <w:p>
      <w:pPr>
        <w:pStyle w:val="868"/>
        <w:jc w:val="center"/>
        <w:keepNext w:val="0"/>
        <w:rPr>
          <w:rFonts w:hint="eastAsia" w:ascii="宋体" w:hAnsi="宋体" w:eastAsia="宋体" w:cs="宋体"/>
          <w:b/>
          <w:bCs/>
          <w:color w:val="auto"/>
          <w:sz w:val="28"/>
          <w:szCs w:val="28"/>
          <w:highlight w:val="none"/>
        </w:rPr>
      </w:pPr>
      <w:r>
        <w:rPr>
          <w:rFonts w:hint="eastAsia" w:ascii="宋体" w:hAnsi="宋体" w:eastAsia="宋体" w:cs="宋体"/>
          <w:b/>
          <w:bCs/>
          <w:i w:val="0"/>
          <w:iCs w:val="0"/>
          <w:color w:val="auto"/>
          <w:sz w:val="28"/>
          <w:szCs w:val="28"/>
          <w:highlight w:val="none"/>
          <w:u w:val="none"/>
          <w:lang w:val="en-US" w:eastAsia="zh-CN" w:bidi="ar"/>
        </w:rPr>
        <w:t xml:space="preserve">采购包1：九龙镇道路保洁管护区域明细表</w:t>
      </w:r>
      <w:r/>
    </w:p>
    <w:tbl>
      <w:tblPr>
        <w:tblStyle w:val="695"/>
        <w:tblW w:w="9811" w:type="dxa"/>
        <w:tblInd w:w="-60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9"/>
        <w:gridCol w:w="2031"/>
        <w:gridCol w:w="1375"/>
        <w:gridCol w:w="1677"/>
        <w:gridCol w:w="1257"/>
        <w:gridCol w:w="1182"/>
        <w:gridCol w:w="1580"/>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vMerge w:val="restart"/>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vMerge w:val="restart"/>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起点</w:t>
            </w:r>
            <w:r/>
          </w:p>
        </w:tc>
        <w:tc>
          <w:tcPr>
            <w:shd w:val="clear" w:color="auto" w:fill="auto"/>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终点</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vMerge w:val="restart"/>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Style w:val="910"/>
                <w:rFonts w:hint="eastAsia" w:ascii="宋体" w:hAnsi="宋体" w:eastAsia="宋体" w:cs="宋体"/>
                <w:b/>
                <w:bCs/>
                <w:color w:val="auto"/>
                <w:sz w:val="21"/>
                <w:szCs w:val="21"/>
                <w:highlight w:val="none"/>
                <w:lang w:val="en-US" w:eastAsia="zh-CN" w:bidi="ar"/>
              </w:rPr>
              <w:t xml:space="preserve">总长</w:t>
            </w:r>
            <w:r>
              <w:rPr>
                <w:rStyle w:val="911"/>
                <w:rFonts w:hint="eastAsia" w:ascii="宋体" w:hAnsi="宋体" w:eastAsia="宋体" w:cs="宋体"/>
                <w:b/>
                <w:bCs/>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Style w:val="910"/>
                <w:rFonts w:hint="eastAsia" w:ascii="宋体" w:hAnsi="宋体" w:eastAsia="宋体" w:cs="宋体"/>
                <w:b/>
                <w:bCs/>
                <w:color w:val="auto"/>
                <w:sz w:val="21"/>
                <w:szCs w:val="21"/>
                <w:highlight w:val="none"/>
                <w:lang w:val="en-US" w:eastAsia="zh-CN" w:bidi="ar"/>
              </w:rPr>
              <w:t xml:space="preserve">宽度</w:t>
            </w:r>
            <w:r>
              <w:rPr>
                <w:rStyle w:val="911"/>
                <w:rFonts w:hint="eastAsia" w:ascii="宋体" w:hAnsi="宋体" w:eastAsia="宋体" w:cs="宋体"/>
                <w:b/>
                <w:bCs/>
                <w:color w:val="auto"/>
                <w:sz w:val="21"/>
                <w:szCs w:val="21"/>
                <w:highlight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vMerge w:val="restart"/>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总面积（㎡）</w:t>
            </w:r>
            <w:r/>
          </w:p>
        </w:tc>
      </w:tr>
      <w:tr>
        <w:trPr>
          <w:trHeight w:val="376"/>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03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孵化一期南北道路</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桥头电动门</w:t>
            </w:r>
            <w:r/>
          </w:p>
        </w:tc>
        <w:tc>
          <w:tcPr>
            <w:shd w:val="clear" w:color="auto" w:fill="auto"/>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雨声路</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2392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雨声路</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姚家路</w:t>
            </w:r>
            <w:r/>
          </w:p>
        </w:tc>
        <w:tc>
          <w:tcPr>
            <w:shd w:val="clear" w:color="auto" w:fill="auto"/>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龙园路</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1713</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27408</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运河路</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界沟路</w:t>
            </w:r>
            <w:r/>
          </w:p>
        </w:tc>
        <w:tc>
          <w:tcPr>
            <w:shd w:val="clear" w:color="auto" w:fill="auto"/>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海阳大桥</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4360</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69760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锋陵大道</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龙园路</w:t>
            </w:r>
            <w:r/>
          </w:p>
        </w:tc>
        <w:tc>
          <w:tcPr>
            <w:shd w:val="clear" w:color="auto" w:fill="auto"/>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兴泰路</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690</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11040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河北路</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龙园路</w:t>
            </w:r>
            <w:r/>
          </w:p>
        </w:tc>
        <w:tc>
          <w:tcPr>
            <w:shd w:val="clear" w:color="auto" w:fill="auto"/>
            <w:tcBorders>
              <w:top w:val="none" w:color="000000" w:sz="4" w:space="0"/>
              <w:left w:val="none" w:color="000000" w:sz="4" w:space="0"/>
              <w:bottom w:val="none" w:color="000000" w:sz="4" w:space="0"/>
              <w:right w:val="none" w:color="000000" w:sz="4" w:space="0"/>
            </w:tcBorders>
            <w:tcW w:w="167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向西至顶头</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5392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世纪大道</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明星路</w:t>
            </w:r>
            <w:r/>
          </w:p>
        </w:tc>
        <w:tc>
          <w:tcPr>
            <w:shd w:val="clear" w:color="auto" w:fill="auto"/>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快易达</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4241</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67856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none" w:color="000000" w:sz="4" w:space="0"/>
              <w:right w:val="single" w:color="000000" w:sz="4" w:space="0"/>
            </w:tcBorders>
            <w:tcW w:w="203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明星路</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世纪大道</w:t>
            </w:r>
            <w:r/>
          </w:p>
        </w:tc>
        <w:tc>
          <w:tcPr>
            <w:shd w:val="clear" w:color="auto" w:fill="auto"/>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向北至顶头</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2260</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36160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203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明星路</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328国道</w:t>
            </w:r>
            <w:r/>
          </w:p>
        </w:tc>
        <w:tc>
          <w:tcPr>
            <w:shd w:val="clear" w:color="auto" w:fill="auto"/>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世纪大道</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692</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19376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姚家路</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328国道</w:t>
            </w:r>
            <w:r/>
          </w:p>
        </w:tc>
        <w:tc>
          <w:tcPr>
            <w:shd w:val="clear" w:color="auto" w:fill="auto"/>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Style w:val="912"/>
                <w:rFonts w:hint="eastAsia" w:ascii="宋体" w:hAnsi="宋体" w:eastAsia="宋体" w:cs="宋体"/>
                <w:color w:val="auto"/>
                <w:sz w:val="21"/>
                <w:szCs w:val="21"/>
                <w:highlight w:val="none"/>
                <w:lang w:val="en-US" w:eastAsia="zh-CN" w:bidi="ar"/>
              </w:rPr>
              <w:t xml:space="preserve">新通扬大桥</w:t>
            </w:r>
            <w:r>
              <w:rPr>
                <w:rStyle w:val="913"/>
                <w:rFonts w:hint="eastAsia" w:ascii="宋体" w:hAnsi="宋体" w:eastAsia="宋体" w:cs="宋体"/>
                <w:color w:val="auto"/>
                <w:sz w:val="21"/>
                <w:szCs w:val="21"/>
                <w:highlight w:val="none"/>
                <w:lang w:val="en-US" w:eastAsia="zh-CN" w:bidi="ar"/>
              </w:rPr>
              <w:t xml:space="preserve">（含）</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3080</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49280</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张坝民营集中区主干道</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世纪大道</w:t>
            </w:r>
            <w:r/>
          </w:p>
        </w:tc>
        <w:tc>
          <w:tcPr>
            <w:shd w:val="clear" w:color="auto" w:fill="auto"/>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向南至顶头</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6450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non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马楼路</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328国道</w:t>
            </w:r>
            <w:r/>
          </w:p>
        </w:tc>
        <w:tc>
          <w:tcPr>
            <w:shd w:val="clear" w:color="auto" w:fill="auto"/>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世纪大道</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12240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龙凤路</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328国道</w:t>
            </w:r>
            <w:r/>
          </w:p>
        </w:tc>
        <w:tc>
          <w:tcPr>
            <w:shd w:val="clear" w:color="auto" w:fill="auto"/>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世纪大道</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6200</w:t>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non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振东村部北侧道路</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龙凤路</w:t>
            </w:r>
            <w:r/>
          </w:p>
        </w:tc>
        <w:tc>
          <w:tcPr>
            <w:shd w:val="clear" w:color="auto" w:fill="auto"/>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龙园路</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none" w:color="000000" w:sz="4" w:space="0"/>
              <w:left w:val="single" w:color="000000" w:sz="4" w:space="0"/>
              <w:bottom w:val="single" w:color="000000" w:sz="4" w:space="0"/>
              <w:right w:val="single" w:color="000000" w:sz="4" w:space="0"/>
            </w:tcBorders>
            <w:tcW w:w="203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龙园路</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328国道</w:t>
            </w:r>
            <w:r/>
          </w:p>
        </w:tc>
        <w:tc>
          <w:tcPr>
            <w:shd w:val="clear" w:color="auto" w:fill="auto"/>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向北至顶头</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2930</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46880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2031"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兴泰路</w:t>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328国道</w:t>
            </w:r>
            <w:r/>
          </w:p>
        </w:tc>
        <w:tc>
          <w:tcPr>
            <w:shd w:val="clear" w:color="auto" w:fill="auto"/>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世纪大道</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19800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2031"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世纪大道</w:t>
            </w:r>
            <w:r/>
          </w:p>
        </w:tc>
        <w:tc>
          <w:tcPr>
            <w:shd w:val="clear" w:color="auto" w:fill="auto"/>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兴丰西路</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32000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328国道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5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海陵大桥桥面</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桥西</w:t>
            </w:r>
            <w:r/>
          </w:p>
        </w:tc>
        <w:tc>
          <w:tcPr>
            <w:shd w:val="clear" w:color="auto" w:fill="auto"/>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龙园路</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49400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31"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龙园路</w:t>
            </w:r>
            <w:r/>
          </w:p>
        </w:tc>
        <w:tc>
          <w:tcPr>
            <w:shd w:val="clear" w:color="auto" w:fill="auto"/>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界沟闸</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3077</w:t>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92310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08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龙翔路恒鼎门口停车场至幼儿园门口广场</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08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钓鱼岛物流园328国道入口周边区</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w:t>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579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82"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8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576024</w:t>
            </w:r>
            <w:r/>
          </w:p>
        </w:tc>
      </w:tr>
      <w:tr>
        <w:trPr>
          <w:trHeight w:val="400"/>
        </w:trPr>
        <w:tc>
          <w:tcPr>
            <w:gridSpan w:val="7"/>
            <w:shd w:val="clear" w:color="auto" w:fill="auto"/>
            <w:tcBorders>
              <w:top w:val="single" w:color="000000" w:sz="4" w:space="0"/>
              <w:left w:val="single" w:color="000000" w:sz="4" w:space="0"/>
              <w:bottom w:val="single" w:color="000000" w:sz="4" w:space="0"/>
              <w:right w:val="single" w:color="000000" w:sz="4" w:space="0"/>
            </w:tcBorders>
            <w:tcW w:w="981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同时包含以下管护内容（请供应商充分考虑后，确定投标报价）</w:t>
            </w:r>
            <w:r/>
          </w:p>
        </w:tc>
      </w:tr>
      <w:tr>
        <w:trPr>
          <w:trHeight w:val="400"/>
        </w:trPr>
        <w:tc>
          <w:tcPr>
            <w:gridSpan w:val="7"/>
            <w:shd w:val="clear" w:color="auto" w:fill="auto"/>
            <w:tcBorders>
              <w:top w:val="single" w:color="000000" w:sz="4" w:space="0"/>
              <w:left w:val="single" w:color="000000" w:sz="4" w:space="0"/>
              <w:bottom w:val="single" w:color="000000" w:sz="4" w:space="0"/>
              <w:right w:val="single" w:color="000000" w:sz="4" w:space="0"/>
            </w:tcBorders>
            <w:tcW w:w="981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①负责镇政府、交警中队等点位垃圾桶的清运。</w:t>
            </w:r>
            <w:r/>
          </w:p>
        </w:tc>
      </w:tr>
      <w:tr>
        <w:trPr>
          <w:trHeight w:val="400"/>
        </w:trPr>
        <w:tc>
          <w:tcPr>
            <w:gridSpan w:val="7"/>
            <w:shd w:val="clear" w:color="auto" w:fill="auto"/>
            <w:tcBorders>
              <w:top w:val="single" w:color="000000" w:sz="4" w:space="0"/>
              <w:left w:val="single" w:color="000000" w:sz="4" w:space="0"/>
              <w:bottom w:val="single" w:color="000000" w:sz="4" w:space="0"/>
              <w:right w:val="single" w:color="000000" w:sz="4" w:space="0"/>
            </w:tcBorders>
            <w:tcW w:w="981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②负责道路沿线企业门口、小区大门外至主干道区域的保洁。</w:t>
            </w:r>
            <w:r/>
          </w:p>
        </w:tc>
      </w:tr>
      <w:tr>
        <w:trPr>
          <w:trHeight w:val="400"/>
        </w:trPr>
        <w:tc>
          <w:tcPr>
            <w:gridSpan w:val="7"/>
            <w:shd w:val="clear" w:color="auto" w:fill="auto"/>
            <w:tcBorders>
              <w:top w:val="single" w:color="000000" w:sz="4" w:space="0"/>
              <w:left w:val="single" w:color="000000" w:sz="4" w:space="0"/>
              <w:bottom w:val="single" w:color="000000" w:sz="4" w:space="0"/>
              <w:right w:val="single" w:color="000000" w:sz="4" w:space="0"/>
            </w:tcBorders>
            <w:tcW w:w="981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③负责道路沿线绿化带及绿化缺失空白区域的垃圾杂物（不含绿化垃圾）清理。</w:t>
            </w:r>
            <w:r/>
          </w:p>
        </w:tc>
      </w:tr>
      <w:tr>
        <w:trPr>
          <w:trHeight w:val="400"/>
        </w:trPr>
        <w:tc>
          <w:tcPr>
            <w:gridSpan w:val="7"/>
            <w:shd w:val="clear" w:color="auto" w:fill="auto"/>
            <w:tcBorders>
              <w:top w:val="single" w:color="000000" w:sz="4" w:space="0"/>
              <w:left w:val="single" w:color="000000" w:sz="4" w:space="0"/>
              <w:bottom w:val="single" w:color="000000" w:sz="4" w:space="0"/>
              <w:right w:val="single" w:color="000000" w:sz="4" w:space="0"/>
            </w:tcBorders>
            <w:tcW w:w="981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④需基于现状对部分区域进行集中整治后常态化管护，例如运河路东侧沿线绿化带缺失区域垃圾清理。</w:t>
            </w:r>
            <w:r/>
          </w:p>
        </w:tc>
      </w:tr>
    </w:tbl>
    <w:p>
      <w:pPr>
        <w:pStyle w:val="868"/>
        <w:ind w:firstLine="420"/>
        <w:jc w:val="both"/>
        <w:keepLines w:val="0"/>
        <w:keepNext w:val="0"/>
        <w:pageBreakBefore w:val="0"/>
        <w:spacing w:line="520" w:lineRule="exact"/>
        <w:widowControl w:val="off"/>
        <w:rPr>
          <w:rFonts w:hint="eastAsia" w:ascii="宋体" w:hAnsi="宋体" w:eastAsia="宋体" w:cs="宋体"/>
          <w:i w:val="0"/>
          <w:iCs w:val="0"/>
          <w:color w:val="auto"/>
          <w:sz w:val="21"/>
          <w:szCs w:val="21"/>
          <w:highlight w:val="none"/>
          <w:u w:val="none"/>
          <w:lang w:val="en-US" w:eastAsia="zh-CN" w:bidi="ar"/>
        </w:rPr>
        <w:outlineLvl w:val="9"/>
      </w:pPr>
      <w:r>
        <w:rPr>
          <w:rFonts w:hint="eastAsia" w:ascii="宋体" w:hAnsi="宋体" w:eastAsia="宋体" w:cs="宋体"/>
          <w:i w:val="0"/>
          <w:iCs w:val="0"/>
          <w:color w:val="auto"/>
          <w:sz w:val="21"/>
          <w:szCs w:val="21"/>
          <w:highlight w:val="none"/>
          <w:u w:val="none"/>
          <w:lang w:val="en-US" w:eastAsia="zh-CN" w:bidi="ar"/>
        </w:rPr>
        <w:t xml:space="preserve">说明：本项目采购人不组织现场踏勘，上述数值可能有少量偏离，具体数量以现场为准，请供应商自行对现场进行踏勘，如供应商发现存在较大偏差，可以在法定澄清时间内向招标代理机构提出，但成交后不得因数据偏差要求额外增加费用；若因政府政策、规划调整、道路改造等原因造成本项目的作业量减少或增加，减少或增加的作业量在5%的范围内，服务经费不作调整。</w:t>
      </w:r>
      <w:r/>
    </w:p>
    <w:p>
      <w:pPr>
        <w:pStyle w:val="868"/>
        <w:jc w:val="center"/>
        <w:keepNext w:val="0"/>
        <w:rPr>
          <w:rFonts w:hint="default" w:ascii="宋体" w:hAnsi="宋体" w:eastAsia="宋体" w:cs="宋体"/>
          <w:b/>
          <w:bCs/>
          <w:i w:val="0"/>
          <w:iCs w:val="0"/>
          <w:color w:val="auto"/>
          <w:sz w:val="28"/>
          <w:szCs w:val="28"/>
          <w:highlight w:val="none"/>
          <w:u w:val="none"/>
          <w:lang w:val="en-US" w:eastAsia="zh-CN" w:bidi="ar"/>
        </w:rPr>
      </w:pPr>
      <w:r>
        <w:rPr>
          <w:rFonts w:hint="default" w:ascii="宋体" w:hAnsi="宋体" w:eastAsia="宋体" w:cs="宋体"/>
          <w:b/>
          <w:bCs/>
          <w:i w:val="0"/>
          <w:iCs w:val="0"/>
          <w:color w:val="auto"/>
          <w:sz w:val="28"/>
          <w:szCs w:val="28"/>
          <w:highlight w:val="none"/>
          <w:u w:val="none"/>
          <w:lang w:val="en-US" w:eastAsia="zh-CN" w:bidi="ar"/>
        </w:rPr>
      </w:r>
      <w:r/>
    </w:p>
    <w:p>
      <w:pPr>
        <w:pStyle w:val="868"/>
        <w:jc w:val="center"/>
        <w:keepNext w:val="0"/>
        <w:rPr>
          <w:rFonts w:hint="eastAsia" w:ascii="宋体" w:hAnsi="宋体" w:eastAsia="宋体" w:cs="宋体"/>
          <w:b/>
          <w:bCs/>
          <w:i w:val="0"/>
          <w:iCs w:val="0"/>
          <w:color w:val="auto"/>
          <w:sz w:val="28"/>
          <w:szCs w:val="28"/>
          <w:highlight w:val="none"/>
          <w:u w:val="none"/>
          <w:lang w:val="en-US" w:eastAsia="zh-CN" w:bidi="ar"/>
        </w:rPr>
      </w:pPr>
      <w:r>
        <w:rPr>
          <w:rFonts w:hint="default" w:ascii="宋体" w:hAnsi="宋体" w:eastAsia="宋体" w:cs="宋体"/>
          <w:b/>
          <w:bCs/>
          <w:i w:val="0"/>
          <w:iCs w:val="0"/>
          <w:color w:val="auto"/>
          <w:sz w:val="28"/>
          <w:szCs w:val="28"/>
          <w:highlight w:val="none"/>
          <w:u w:val="none"/>
          <w:lang w:val="en-US" w:eastAsia="zh-CN" w:bidi="ar"/>
        </w:rPr>
        <w:t xml:space="preserve">采购包2：九龙镇道路保洁管护区域明细表</w:t>
      </w:r>
      <w:r/>
    </w:p>
    <w:tbl>
      <w:tblPr>
        <w:tblStyle w:val="695"/>
        <w:tblW w:w="9804" w:type="dxa"/>
        <w:tblInd w:w="-61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24"/>
        <w:gridCol w:w="2042"/>
        <w:gridCol w:w="1343"/>
        <w:gridCol w:w="1701"/>
        <w:gridCol w:w="1272"/>
        <w:gridCol w:w="1164"/>
        <w:gridCol w:w="1558"/>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vMerge w:val="restart"/>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4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vMerge w:val="restart"/>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起点</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终点</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总长（m）</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vMerge w:val="restart"/>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宽度（m）</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vMerge w:val="restart"/>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总面积（㎡）</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204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明星路</w:t>
            </w:r>
            <w:r/>
          </w:p>
        </w:tc>
        <w:tc>
          <w:tcPr>
            <w:shd w:val="clear" w:color="auto" w:fill="ffffff"/>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328国道</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界沟桥</w:t>
            </w:r>
            <w:r/>
          </w:p>
        </w:tc>
        <w:tc>
          <w:tcPr>
            <w:shd w:val="clear" w:color="auto" w:fill="ffffff"/>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710</w:t>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20590</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none" w:color="000000" w:sz="4" w:space="0"/>
              <w:right w:val="single" w:color="000000" w:sz="4" w:space="0"/>
            </w:tcBorders>
            <w:tcW w:w="204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明星路</w:t>
            </w:r>
            <w:r/>
          </w:p>
        </w:tc>
        <w:tc>
          <w:tcPr>
            <w:shd w:val="clear" w:color="auto" w:fill="ffffff"/>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界沟桥</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龙轩路</w:t>
            </w:r>
            <w:r/>
          </w:p>
        </w:tc>
        <w:tc>
          <w:tcPr>
            <w:shd w:val="clear" w:color="auto" w:fill="ffffff"/>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w:t>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10426</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龙园路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328国道</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龙轩路</w:t>
            </w:r>
            <w:r>
              <w:rPr>
                <w:rStyle w:val="914"/>
                <w:rFonts w:hint="eastAsia" w:ascii="宋体" w:hAnsi="宋体" w:eastAsia="宋体" w:cs="宋体"/>
                <w:color w:val="auto"/>
                <w:sz w:val="21"/>
                <w:szCs w:val="21"/>
                <w:highlight w:val="none"/>
                <w:lang w:val="en-US" w:eastAsia="zh-CN" w:bidi="ar"/>
              </w:rPr>
              <w:t xml:space="preserve">（含宝鼎）</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19005</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龙翔路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328国道</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九龙路</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9425</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2042" w:type="dxa"/>
            <w:vAlign w:val="center"/>
            <w:vMerge w:val="restart"/>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九龙路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文卫路</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龙园路</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697</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25092</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2042" w:type="dxa"/>
            <w:vAlign w:val="center"/>
            <w:vMerge w:val="continue"/>
            <w:textDirection w:val="lrTb"/>
            <w:noWrap/>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龙园路</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水岸豪庭东侧</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19620</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none" w:color="000000" w:sz="4" w:space="0"/>
              <w:right w:val="single" w:color="000000" w:sz="4" w:space="0"/>
            </w:tcBorders>
            <w:tcW w:w="2042" w:type="dxa"/>
            <w:vAlign w:val="center"/>
            <w:vMerge w:val="continue"/>
            <w:textDirection w:val="lrTb"/>
            <w:noWrap/>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水岸豪庭东侧</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龙翔路</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5420</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4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龙轩路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明星路</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富民路</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2084</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54184</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42"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富民路</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龙园路</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15300</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42"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龙园路</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中加路</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12100</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文卫路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328国道</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龙轩路</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5670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富民路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328国道</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龙轩路</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8820</w:t>
            </w:r>
            <w:r/>
          </w:p>
        </w:tc>
      </w:tr>
      <w:tr>
        <w:trPr>
          <w:trHeight w:val="740"/>
        </w:trPr>
        <w:tc>
          <w:tcPr>
            <w:shd w:val="clear" w:color="auto" w:fill="ffffff"/>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兴龙路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328国道</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兴龙路与龙轩路交叉口向南第一个交叉口</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855</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21375</w:t>
            </w:r>
            <w:r/>
          </w:p>
        </w:tc>
      </w:tr>
      <w:tr>
        <w:trPr>
          <w:trHeight w:val="360"/>
        </w:trPr>
        <w:tc>
          <w:tcPr>
            <w:shd w:val="clear" w:color="auto" w:fill="ffffff"/>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4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中加路</w:t>
            </w:r>
            <w:r/>
          </w:p>
        </w:tc>
        <w:tc>
          <w:tcPr>
            <w:shd w:val="clear" w:color="auto" w:fill="auto"/>
            <w:tcBorders>
              <w:top w:val="single" w:color="000000" w:sz="4" w:space="0"/>
              <w:left w:val="single" w:color="000000" w:sz="4" w:space="0"/>
              <w:bottom w:val="single" w:color="000000" w:sz="4" w:space="0"/>
              <w:right w:val="single" w:color="000000" w:sz="4" w:space="0"/>
            </w:tcBorders>
            <w:tcW w:w="134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九龙路</w:t>
            </w:r>
            <w:r/>
          </w:p>
        </w:tc>
        <w:tc>
          <w:tcPr>
            <w:shd w:val="clear" w:color="auto" w:fill="auto"/>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龙轩路</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3840</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08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兴龙路（老政府南侧）停车场</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1400</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08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九龙路技师学院北侧绿化带内机动车停车位</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1050</w:t>
            </w:r>
            <w:r/>
          </w:p>
        </w:tc>
      </w:tr>
      <w:tr>
        <w:trPr>
          <w:trHeight w:val="580"/>
        </w:trPr>
        <w:tc>
          <w:tcPr>
            <w:shd w:val="clear" w:color="auto" w:fill="ffffff"/>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08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水岸豪庭北侧门面房至新建停车场南侧绿化带（含）之间区域</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7540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08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水岸豪庭南侧门面房至人行道之前区域</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4320</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08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技师学院南侧公交车停车场及南大门东侧停车场</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2560</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08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罗兰金都西侧沿线未硬质化区域</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w:t>
            </w:r>
            <w:r/>
          </w:p>
        </w:tc>
      </w:tr>
      <w:tr>
        <w:trPr>
          <w:trHeight w:val="34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508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九龙路非机动车道南侧（皇家美墅至鑫源酒店）</w:t>
            </w:r>
            <w:r/>
          </w:p>
        </w:tc>
        <w:tc>
          <w:tcPr>
            <w:shd w:val="clear" w:color="auto" w:fill="ffffff"/>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08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老政府停车场南侧巷道</w:t>
            </w:r>
            <w:r/>
          </w:p>
        </w:tc>
        <w:tc>
          <w:tcPr>
            <w:shd w:val="clear" w:color="auto" w:fill="ffffff"/>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508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九龙路北侧巷道（龙园小区南侧院墙外）</w:t>
            </w:r>
            <w:r/>
          </w:p>
        </w:tc>
        <w:tc>
          <w:tcPr>
            <w:shd w:val="clear" w:color="auto" w:fill="ffffff"/>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1050</w:t>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581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4" w:type="dxa"/>
            <w:vAlign w:val="center"/>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250937</w:t>
            </w:r>
            <w:r/>
          </w:p>
        </w:tc>
      </w:tr>
      <w:tr>
        <w:trPr>
          <w:trHeight w:val="400"/>
        </w:trPr>
        <w:tc>
          <w:tcPr>
            <w:gridSpan w:val="7"/>
            <w:shd w:val="clear" w:color="auto" w:fill="auto"/>
            <w:tcBorders>
              <w:top w:val="single" w:color="000000" w:sz="4" w:space="0"/>
              <w:left w:val="single" w:color="000000" w:sz="4" w:space="0"/>
              <w:bottom w:val="single" w:color="000000" w:sz="4" w:space="0"/>
              <w:right w:val="single" w:color="000000" w:sz="4" w:space="0"/>
            </w:tcBorders>
            <w:tcW w:w="980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同时包含以下管护内容（请供应商充分考虑后，确定投标报价）</w:t>
            </w:r>
            <w:r/>
          </w:p>
        </w:tc>
      </w:tr>
      <w:tr>
        <w:trPr>
          <w:trHeight w:val="600"/>
        </w:trPr>
        <w:tc>
          <w:tcPr>
            <w:gridSpan w:val="7"/>
            <w:shd w:val="clear" w:color="auto" w:fill="auto"/>
            <w:tcBorders>
              <w:top w:val="single" w:color="000000" w:sz="4" w:space="0"/>
              <w:left w:val="single" w:color="000000" w:sz="4" w:space="0"/>
              <w:bottom w:val="single" w:color="000000" w:sz="4" w:space="0"/>
              <w:right w:val="single" w:color="000000" w:sz="4" w:space="0"/>
            </w:tcBorders>
            <w:tcW w:w="980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Style w:val="915"/>
                <w:rFonts w:hint="eastAsia" w:ascii="宋体" w:hAnsi="宋体" w:eastAsia="宋体" w:cs="宋体"/>
                <w:color w:val="auto"/>
                <w:sz w:val="21"/>
                <w:szCs w:val="21"/>
                <w:highlight w:val="none"/>
                <w:lang w:val="en-US" w:eastAsia="zh-CN" w:bidi="ar"/>
              </w:rPr>
              <w:t xml:space="preserve">①</w:t>
            </w:r>
            <w:r>
              <w:rPr>
                <w:rStyle w:val="915"/>
                <w:rFonts w:hint="eastAsia" w:ascii="宋体" w:hAnsi="宋体" w:cs="宋体"/>
                <w:color w:val="auto"/>
                <w:sz w:val="21"/>
                <w:szCs w:val="21"/>
                <w:highlight w:val="none"/>
                <w:lang w:val="en-US" w:eastAsia="zh-CN" w:bidi="ar"/>
              </w:rPr>
              <w:t xml:space="preserve">中加路南延至强陈闸口（长约1200m）</w:t>
            </w:r>
            <w:r>
              <w:rPr>
                <w:rStyle w:val="915"/>
                <w:rFonts w:hint="eastAsia" w:ascii="宋体" w:hAnsi="宋体" w:eastAsia="宋体" w:cs="宋体"/>
                <w:color w:val="auto"/>
                <w:sz w:val="21"/>
                <w:szCs w:val="21"/>
                <w:highlight w:val="none"/>
                <w:lang w:val="en-US" w:eastAsia="zh-CN" w:bidi="ar"/>
              </w:rPr>
              <w:t xml:space="preserve">服务期内</w:t>
            </w:r>
            <w:r>
              <w:rPr>
                <w:rStyle w:val="915"/>
                <w:rFonts w:hint="eastAsia" w:ascii="宋体" w:hAnsi="宋体" w:cs="宋体"/>
                <w:color w:val="auto"/>
                <w:sz w:val="21"/>
                <w:szCs w:val="21"/>
                <w:highlight w:val="none"/>
                <w:lang w:val="en-US" w:eastAsia="zh-CN" w:bidi="ar"/>
              </w:rPr>
              <w:t xml:space="preserve">至少</w:t>
            </w:r>
            <w:r>
              <w:rPr>
                <w:rStyle w:val="915"/>
                <w:rFonts w:hint="eastAsia" w:ascii="宋体" w:hAnsi="宋体" w:eastAsia="宋体" w:cs="宋体"/>
                <w:color w:val="auto"/>
                <w:sz w:val="21"/>
                <w:szCs w:val="21"/>
                <w:highlight w:val="none"/>
                <w:lang w:val="en-US" w:eastAsia="zh-CN" w:bidi="ar"/>
              </w:rPr>
              <w:t xml:space="preserve">集中</w:t>
            </w:r>
            <w:r>
              <w:rPr>
                <w:rStyle w:val="915"/>
                <w:rFonts w:hint="eastAsia" w:ascii="宋体" w:hAnsi="宋体" w:cs="宋体"/>
                <w:color w:val="auto"/>
                <w:sz w:val="21"/>
                <w:szCs w:val="21"/>
                <w:highlight w:val="none"/>
                <w:lang w:val="en-US" w:eastAsia="zh-CN" w:bidi="ar"/>
              </w:rPr>
              <w:t xml:space="preserve">清扫4</w:t>
            </w:r>
            <w:r>
              <w:rPr>
                <w:rStyle w:val="915"/>
                <w:rFonts w:hint="eastAsia" w:ascii="宋体" w:hAnsi="宋体" w:eastAsia="宋体" w:cs="宋体"/>
                <w:color w:val="auto"/>
                <w:sz w:val="21"/>
                <w:szCs w:val="21"/>
                <w:highlight w:val="none"/>
                <w:lang w:val="en-US" w:eastAsia="zh-CN" w:bidi="ar"/>
              </w:rPr>
              <w:t xml:space="preserve">次</w:t>
            </w:r>
            <w:r>
              <w:rPr>
                <w:rStyle w:val="915"/>
                <w:rFonts w:hint="eastAsia" w:ascii="宋体" w:hAnsi="宋体" w:cs="宋体"/>
                <w:color w:val="auto"/>
                <w:sz w:val="21"/>
                <w:szCs w:val="21"/>
                <w:highlight w:val="none"/>
                <w:lang w:val="en-US" w:eastAsia="zh-CN" w:bidi="ar"/>
              </w:rPr>
              <w:t xml:space="preserve">（具体时间服从采购人安排）</w:t>
            </w:r>
            <w:r>
              <w:rPr>
                <w:rStyle w:val="915"/>
                <w:rFonts w:hint="eastAsia" w:ascii="宋体" w:hAnsi="宋体" w:eastAsia="宋体" w:cs="宋体"/>
                <w:color w:val="auto"/>
                <w:sz w:val="21"/>
                <w:szCs w:val="21"/>
                <w:highlight w:val="none"/>
                <w:lang w:val="en-US" w:eastAsia="zh-CN" w:bidi="ar"/>
              </w:rPr>
              <w:t xml:space="preserve">，</w:t>
            </w:r>
            <w:r>
              <w:rPr>
                <w:rStyle w:val="915"/>
                <w:rFonts w:hint="eastAsia" w:ascii="宋体" w:hAnsi="宋体" w:cs="宋体"/>
                <w:color w:val="auto"/>
                <w:sz w:val="21"/>
                <w:szCs w:val="21"/>
                <w:highlight w:val="none"/>
                <w:lang w:val="en-US" w:eastAsia="zh-CN" w:bidi="ar"/>
              </w:rPr>
              <w:t xml:space="preserve">并做好沿线乱倒垃圾、农业废弃物的及时清理，不含每年两季秸秆集中清理。</w:t>
            </w:r>
            <w:r/>
          </w:p>
        </w:tc>
      </w:tr>
      <w:tr>
        <w:trPr>
          <w:trHeight w:val="400"/>
        </w:trPr>
        <w:tc>
          <w:tcPr>
            <w:gridSpan w:val="7"/>
            <w:shd w:val="clear" w:color="auto" w:fill="auto"/>
            <w:tcBorders>
              <w:top w:val="single" w:color="000000" w:sz="4" w:space="0"/>
              <w:left w:val="single" w:color="000000" w:sz="4" w:space="0"/>
              <w:bottom w:val="single" w:color="000000" w:sz="4" w:space="0"/>
              <w:right w:val="single" w:color="000000" w:sz="4" w:space="0"/>
            </w:tcBorders>
            <w:tcW w:w="980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②</w:t>
            </w:r>
            <w:r>
              <w:rPr>
                <w:rFonts w:hint="eastAsia" w:ascii="宋体" w:hAnsi="宋体" w:eastAsia="宋体" w:cs="宋体"/>
                <w:i w:val="0"/>
                <w:iCs w:val="0"/>
                <w:color w:val="auto"/>
                <w:sz w:val="21"/>
                <w:szCs w:val="21"/>
                <w:highlight w:val="none"/>
                <w:u w:val="none"/>
                <w:lang w:val="en-US" w:eastAsia="zh-CN" w:bidi="ar"/>
              </w:rPr>
              <w:t xml:space="preserve">负责九龙派出所、社会治理中心、敬老院等点位垃圾桶的清运。</w:t>
            </w:r>
            <w:r/>
          </w:p>
        </w:tc>
      </w:tr>
      <w:tr>
        <w:trPr>
          <w:trHeight w:val="400"/>
        </w:trPr>
        <w:tc>
          <w:tcPr>
            <w:gridSpan w:val="7"/>
            <w:shd w:val="clear" w:color="auto" w:fill="auto"/>
            <w:tcBorders>
              <w:top w:val="single" w:color="000000" w:sz="4" w:space="0"/>
              <w:left w:val="single" w:color="000000" w:sz="4" w:space="0"/>
              <w:bottom w:val="single" w:color="000000" w:sz="4" w:space="0"/>
              <w:right w:val="single" w:color="000000" w:sz="4" w:space="0"/>
            </w:tcBorders>
            <w:tcW w:w="980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③</w:t>
            </w:r>
            <w:r>
              <w:rPr>
                <w:rFonts w:hint="eastAsia" w:ascii="宋体" w:hAnsi="宋体" w:eastAsia="宋体" w:cs="宋体"/>
                <w:i w:val="0"/>
                <w:iCs w:val="0"/>
                <w:color w:val="auto"/>
                <w:sz w:val="21"/>
                <w:szCs w:val="21"/>
                <w:highlight w:val="none"/>
                <w:u w:val="none"/>
                <w:lang w:val="en-US" w:eastAsia="zh-CN" w:bidi="ar"/>
              </w:rPr>
              <w:t xml:space="preserve">负责道路沿线企业门口、各小区大门外至主干道区域的保洁。</w:t>
            </w:r>
            <w:r/>
          </w:p>
        </w:tc>
      </w:tr>
      <w:tr>
        <w:trPr>
          <w:trHeight w:val="400"/>
        </w:trPr>
        <w:tc>
          <w:tcPr>
            <w:gridSpan w:val="7"/>
            <w:shd w:val="clear" w:color="auto" w:fill="auto"/>
            <w:tcBorders>
              <w:top w:val="single" w:color="000000" w:sz="4" w:space="0"/>
              <w:left w:val="single" w:color="000000" w:sz="4" w:space="0"/>
              <w:bottom w:val="single" w:color="000000" w:sz="4" w:space="0"/>
              <w:right w:val="single" w:color="000000" w:sz="4" w:space="0"/>
            </w:tcBorders>
            <w:tcW w:w="980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④</w:t>
            </w:r>
            <w:r>
              <w:rPr>
                <w:rFonts w:hint="eastAsia" w:ascii="宋体" w:hAnsi="宋体" w:eastAsia="宋体" w:cs="宋体"/>
                <w:i w:val="0"/>
                <w:iCs w:val="0"/>
                <w:color w:val="auto"/>
                <w:sz w:val="21"/>
                <w:szCs w:val="21"/>
                <w:highlight w:val="none"/>
                <w:u w:val="none"/>
                <w:lang w:val="en-US" w:eastAsia="zh-CN" w:bidi="ar"/>
              </w:rPr>
              <w:t xml:space="preserve">负责道路沿线绿化带及绿化缺失空白区域的垃圾杂物（不含绿化垃圾）清理。</w:t>
            </w:r>
            <w:r/>
          </w:p>
        </w:tc>
      </w:tr>
      <w:tr>
        <w:trPr>
          <w:trHeight w:val="400"/>
        </w:trPr>
        <w:tc>
          <w:tcPr>
            <w:gridSpan w:val="7"/>
            <w:shd w:val="clear" w:color="auto" w:fill="auto"/>
            <w:tcBorders>
              <w:top w:val="single" w:color="000000" w:sz="4" w:space="0"/>
              <w:left w:val="single" w:color="000000" w:sz="4" w:space="0"/>
              <w:bottom w:val="single" w:color="000000" w:sz="4" w:space="0"/>
              <w:right w:val="single" w:color="000000" w:sz="4" w:space="0"/>
            </w:tcBorders>
            <w:tcW w:w="980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⑤</w:t>
            </w:r>
            <w:r>
              <w:rPr>
                <w:rFonts w:hint="eastAsia" w:ascii="宋体" w:hAnsi="宋体" w:eastAsia="宋体" w:cs="宋体"/>
                <w:i w:val="0"/>
                <w:iCs w:val="0"/>
                <w:color w:val="auto"/>
                <w:sz w:val="21"/>
                <w:szCs w:val="21"/>
                <w:highlight w:val="none"/>
                <w:u w:val="none"/>
                <w:lang w:val="en-US" w:eastAsia="zh-CN" w:bidi="ar"/>
              </w:rPr>
              <w:t xml:space="preserve">每年正月集市结束后，进行集场区域（主要涉及龙轩路、明星路）的集中清扫。</w:t>
            </w:r>
            <w:r/>
          </w:p>
        </w:tc>
      </w:tr>
      <w:tr>
        <w:trPr>
          <w:trHeight w:val="720"/>
        </w:trPr>
        <w:tc>
          <w:tcPr>
            <w:gridSpan w:val="7"/>
            <w:shd w:val="clear" w:color="auto" w:fill="auto"/>
            <w:tcBorders>
              <w:top w:val="single" w:color="000000" w:sz="4" w:space="0"/>
              <w:left w:val="single" w:color="000000" w:sz="4" w:space="0"/>
              <w:bottom w:val="single" w:color="000000" w:sz="4" w:space="0"/>
              <w:right w:val="single" w:color="000000" w:sz="4" w:space="0"/>
            </w:tcBorders>
            <w:tcW w:w="980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⑥</w:t>
            </w:r>
            <w:r>
              <w:rPr>
                <w:rFonts w:hint="eastAsia" w:ascii="宋体" w:hAnsi="宋体" w:eastAsia="宋体" w:cs="宋体"/>
                <w:i w:val="0"/>
                <w:iCs w:val="0"/>
                <w:color w:val="auto"/>
                <w:sz w:val="21"/>
                <w:szCs w:val="21"/>
                <w:highlight w:val="none"/>
                <w:u w:val="none"/>
                <w:lang w:val="en-US" w:eastAsia="zh-CN" w:bidi="ar"/>
              </w:rPr>
              <w:t xml:space="preserve">需基于现状对部分区域进行集中整治后常态化管护，例如罗兰金都南侧积存垃圾清理，水岸豪庭北侧绿化带沿线垃圾清理。</w:t>
            </w:r>
            <w:r/>
          </w:p>
        </w:tc>
      </w:tr>
    </w:tbl>
    <w:p>
      <w:pPr>
        <w:pStyle w:val="868"/>
        <w:ind w:firstLine="420"/>
        <w:jc w:val="both"/>
        <w:keepLines w:val="0"/>
        <w:keepNext w:val="0"/>
        <w:pageBreakBefore w:val="0"/>
        <w:spacing w:line="520" w:lineRule="exact"/>
        <w:widowControl w:val="off"/>
        <w:rPr>
          <w:rFonts w:hint="eastAsia" w:ascii="宋体" w:hAnsi="宋体" w:eastAsia="宋体" w:cs="宋体"/>
          <w:i w:val="0"/>
          <w:iCs w:val="0"/>
          <w:color w:val="auto"/>
          <w:sz w:val="21"/>
          <w:szCs w:val="21"/>
          <w:highlight w:val="none"/>
          <w:u w:val="none"/>
          <w:lang w:val="en-US" w:eastAsia="zh-CN" w:bidi="ar"/>
        </w:rPr>
        <w:outlineLvl w:val="9"/>
      </w:pPr>
      <w:r>
        <w:rPr>
          <w:rFonts w:hint="eastAsia" w:ascii="宋体" w:hAnsi="宋体" w:eastAsia="宋体" w:cs="宋体"/>
          <w:i w:val="0"/>
          <w:iCs w:val="0"/>
          <w:color w:val="auto"/>
          <w:sz w:val="21"/>
          <w:szCs w:val="21"/>
          <w:highlight w:val="none"/>
          <w:u w:val="none"/>
          <w:lang w:val="en-US" w:eastAsia="zh-CN" w:bidi="ar"/>
        </w:rPr>
        <w:t xml:space="preserve">说明：本项目采购人不组织现场踏勘，上述数值可能有少量偏离，具体数量以现场为准，请供应商自行对现场进行踏勘，如供应商发现存在较大偏差，可以在法定澄清时间内向招标代理机构提出，但成交后不得因数据偏差要求额外增加费用；若因政府政策、规划调整、道路改造等原因造成本项目的作业量减少或增加，减少或增加的作业量在5%的范围内，服务经费不作调整。</w:t>
      </w:r>
      <w:r/>
    </w:p>
    <w:p>
      <w:pP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p>
      <w:pP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r>
      <w:r/>
    </w:p>
    <w:p>
      <w:pPr>
        <w:pStyle w:val="868"/>
        <w:jc w:val="center"/>
        <w:keepLines w:val="0"/>
        <w:keepNext w:val="0"/>
        <w:pageBreakBefore w:val="0"/>
        <w:spacing w:line="520" w:lineRule="exact"/>
        <w:widowControl w:val="off"/>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68"/>
        <w:jc w:val="both"/>
        <w:keepNext w:val="0"/>
        <w:rPr>
          <w:rFonts w:hint="eastAsia" w:ascii="宋体" w:hAnsi="宋体" w:eastAsia="宋体" w:cs="宋体"/>
          <w:b/>
          <w:bCs/>
          <w:i w:val="0"/>
          <w:iCs w:val="0"/>
          <w:color w:val="auto"/>
          <w:sz w:val="28"/>
          <w:szCs w:val="28"/>
          <w:highlight w:val="none"/>
          <w:u w:val="none"/>
          <w:lang w:val="en-US" w:eastAsia="zh-CN" w:bidi="ar"/>
        </w:rPr>
      </w:pPr>
      <w:r>
        <w:rPr>
          <w:rFonts w:hint="eastAsia" w:ascii="宋体" w:hAnsi="宋体" w:eastAsia="宋体" w:cs="宋体"/>
          <w:b/>
          <w:bCs/>
          <w:i w:val="0"/>
          <w:iCs w:val="0"/>
          <w:color w:val="auto"/>
          <w:sz w:val="28"/>
          <w:szCs w:val="28"/>
          <w:highlight w:val="none"/>
          <w:u w:val="none"/>
          <w:lang w:val="en-US" w:eastAsia="zh-CN" w:bidi="ar"/>
        </w:rPr>
        <w:t xml:space="preserve">附件2：</w:t>
      </w:r>
      <w:r/>
    </w:p>
    <w:p>
      <w:pPr>
        <w:jc w:val="center"/>
        <w:rPr>
          <w:rFonts w:hint="eastAsia" w:ascii="宋体" w:hAnsi="宋体" w:eastAsia="宋体" w:cs="宋体"/>
          <w:color w:val="auto"/>
          <w:sz w:val="32"/>
          <w:szCs w:val="32"/>
          <w:highlight w:val="none"/>
        </w:rPr>
      </w:pPr>
      <w:r>
        <w:rPr>
          <w:rFonts w:hint="default" w:ascii="宋体" w:hAnsi="宋体" w:eastAsia="宋体" w:cs="宋体"/>
          <w:b/>
          <w:bCs/>
          <w:i w:val="0"/>
          <w:iCs w:val="0"/>
          <w:color w:val="auto"/>
          <w:sz w:val="28"/>
          <w:szCs w:val="28"/>
          <w:highlight w:val="none"/>
          <w:u w:val="none"/>
          <w:lang w:val="en-US" w:eastAsia="zh-CN" w:bidi="ar"/>
        </w:rPr>
        <w:t xml:space="preserve">采购包1</w:t>
      </w:r>
      <w:r>
        <w:rPr>
          <w:rFonts w:hint="eastAsia" w:ascii="宋体" w:hAnsi="宋体" w:eastAsia="宋体" w:cs="宋体"/>
          <w:b/>
          <w:bCs/>
          <w:i w:val="0"/>
          <w:iCs w:val="0"/>
          <w:color w:val="auto"/>
          <w:sz w:val="28"/>
          <w:szCs w:val="28"/>
          <w:highlight w:val="none"/>
          <w:u w:val="none"/>
          <w:lang w:val="en-US" w:eastAsia="zh-CN" w:bidi="ar"/>
        </w:rPr>
        <w:t xml:space="preserve">：</w:t>
      </w:r>
      <w:r>
        <w:rPr>
          <w:rFonts w:hint="default" w:ascii="宋体" w:hAnsi="宋体" w:eastAsia="宋体" w:cs="宋体"/>
          <w:b/>
          <w:bCs/>
          <w:i w:val="0"/>
          <w:iCs w:val="0"/>
          <w:color w:val="auto"/>
          <w:sz w:val="28"/>
          <w:szCs w:val="28"/>
          <w:highlight w:val="none"/>
          <w:u w:val="none"/>
          <w:lang w:val="en-US" w:eastAsia="zh-CN" w:bidi="ar"/>
        </w:rPr>
        <w:t xml:space="preserve">九龙镇328国道以北沿街门面房数量统计表</w:t>
      </w:r>
      <w:r/>
    </w:p>
    <w:tbl>
      <w:tblPr>
        <w:tblStyle w:val="695"/>
        <w:tblW w:w="9218" w:type="dxa"/>
        <w:tblInd w:w="-26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12"/>
        <w:gridCol w:w="1445"/>
        <w:gridCol w:w="1838"/>
        <w:gridCol w:w="1385"/>
        <w:gridCol w:w="1469"/>
        <w:gridCol w:w="2269"/>
      </w:tblGrid>
      <w:tr>
        <w:trPr>
          <w:trHeight w:val="571"/>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路段</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起点</w:t>
            </w:r>
            <w:r/>
          </w:p>
        </w:tc>
        <w:tc>
          <w:tcPr>
            <w:shd w:val="clear" w:color="auto" w:fill="auto"/>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终点</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商铺数量（含住户）</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445"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兴泰路</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兴泰路东侧</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328国道</w:t>
            </w:r>
            <w:r/>
          </w:p>
        </w:tc>
        <w:tc>
          <w:tcPr>
            <w:shd w:val="clear" w:color="auto" w:fill="auto"/>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世纪大道</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none" w:color="000000" w:sz="4" w:space="0"/>
              <w:bottom w:val="single" w:color="000000" w:sz="4" w:space="0"/>
              <w:right w:val="single" w:color="000000" w:sz="4" w:space="0"/>
            </w:tcBorders>
            <w:tcW w:w="1445"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兴泰路西侧</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328国道</w:t>
            </w:r>
            <w:r/>
          </w:p>
        </w:tc>
        <w:tc>
          <w:tcPr>
            <w:shd w:val="clear" w:color="auto" w:fill="auto"/>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世纪大道</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4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马楼路</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马楼路</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328国道</w:t>
            </w:r>
            <w:r/>
          </w:p>
        </w:tc>
        <w:tc>
          <w:tcPr>
            <w:shd w:val="clear" w:color="auto" w:fill="auto"/>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世纪大道</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4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龙凤路</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龙凤路</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328国道</w:t>
            </w:r>
            <w:r/>
          </w:p>
        </w:tc>
        <w:tc>
          <w:tcPr>
            <w:shd w:val="clear" w:color="auto" w:fill="auto"/>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世纪大道</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r>
      <w:tr>
        <w:trPr>
          <w:trHeight w:val="500"/>
        </w:trPr>
        <w:tc>
          <w:tcPr>
            <w:shd w:val="clear" w:color="auto" w:fill="auto"/>
            <w:tcBorders>
              <w:top w:val="none" w:color="000000" w:sz="4" w:space="0"/>
              <w:left w:val="single" w:color="000000" w:sz="4" w:space="0"/>
              <w:bottom w:val="single" w:color="000000" w:sz="4" w:space="0"/>
              <w:right w:val="none" w:color="000000" w:sz="4" w:space="0"/>
            </w:tcBorders>
            <w:tcW w:w="81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328国道</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328国道北侧</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加油站</w:t>
            </w:r>
            <w:r/>
          </w:p>
        </w:tc>
        <w:tc>
          <w:tcPr>
            <w:shd w:val="clear" w:color="auto" w:fill="auto"/>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马楼路口</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r>
      <w:tr>
        <w:trPr>
          <w:trHeight w:val="500"/>
        </w:trPr>
        <w:tc>
          <w:tcPr>
            <w:shd w:val="clear" w:color="auto" w:fill="auto"/>
            <w:tcBorders>
              <w:top w:val="single" w:color="000000" w:sz="4" w:space="0"/>
              <w:left w:val="single" w:color="000000" w:sz="4" w:space="0"/>
              <w:bottom w:val="single" w:color="000000" w:sz="4" w:space="0"/>
              <w:right w:val="none" w:color="000000" w:sz="4" w:space="0"/>
            </w:tcBorders>
            <w:tcW w:w="81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328国道南侧</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文卫路</w:t>
            </w:r>
            <w:r/>
          </w:p>
        </w:tc>
        <w:tc>
          <w:tcPr>
            <w:shd w:val="clear" w:color="auto" w:fill="auto"/>
            <w:tcBorders>
              <w:top w:val="single" w:color="000000" w:sz="4" w:space="0"/>
              <w:left w:val="single" w:color="000000" w:sz="4" w:space="0"/>
              <w:bottom w:val="single" w:color="000000" w:sz="4" w:space="0"/>
              <w:right w:val="single" w:color="000000" w:sz="4" w:space="0"/>
            </w:tcBorders>
            <w:tcW w:w="146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三泉浴室</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r>
      <w:tr>
        <w:trP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6949"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合计（户）</w:t>
            </w:r>
            <w:r/>
          </w:p>
        </w:tc>
        <w:tc>
          <w:tcPr>
            <w:shd w:val="clear" w:color="auto" w:fill="auto"/>
            <w:tcBorders>
              <w:top w:val="single" w:color="000000" w:sz="4" w:space="0"/>
              <w:left w:val="single" w:color="000000" w:sz="4" w:space="0"/>
              <w:bottom w:val="single" w:color="000000" w:sz="4" w:space="0"/>
              <w:right w:val="single" w:color="000000" w:sz="4" w:space="0"/>
            </w:tcBorders>
            <w:tcW w:w="226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255</w:t>
            </w:r>
            <w:r/>
          </w:p>
        </w:tc>
      </w:tr>
    </w:tbl>
    <w:p>
      <w:pPr>
        <w:ind w:firstLine="420"/>
        <w:keepLines w:val="0"/>
        <w:keepNext w:val="0"/>
        <w:pageBreakBefore w:val="0"/>
        <w:spacing w:line="520" w:lineRule="exact"/>
        <w:widowControl w:val="off"/>
        <w:rPr>
          <w:rFonts w:hint="eastAsia" w:ascii="宋体" w:hAnsi="宋体" w:eastAsia="宋体" w:cs="宋体"/>
          <w:color w:val="auto"/>
          <w:sz w:val="32"/>
          <w:szCs w:val="32"/>
          <w:highlight w:val="none"/>
        </w:rPr>
      </w:pPr>
      <w:r>
        <w:rPr>
          <w:rFonts w:hint="eastAsia" w:ascii="宋体" w:hAnsi="宋体" w:eastAsia="宋体" w:cs="宋体"/>
          <w:i w:val="0"/>
          <w:iCs w:val="0"/>
          <w:color w:val="auto"/>
          <w:sz w:val="21"/>
          <w:szCs w:val="21"/>
          <w:highlight w:val="none"/>
          <w:u w:val="none"/>
          <w:lang w:val="en-US" w:eastAsia="zh-CN" w:bidi="ar"/>
        </w:rPr>
        <w:t xml:space="preserve">说明：具体数量以现场为准，本项目采购人不组织现场踏勘，供应商自行踏勘现场；生活垃圾上门收集路段不仅限于上述路段，采购人根据保洁道路沿线商铺实际需求及变化，适时调整或增加上门收集路段。</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default" w:ascii="宋体" w:hAnsi="宋体" w:eastAsia="宋体" w:cs="宋体"/>
          <w:b/>
          <w:bCs/>
          <w:i w:val="0"/>
          <w:iCs w:val="0"/>
          <w:color w:val="auto"/>
          <w:sz w:val="28"/>
          <w:szCs w:val="28"/>
          <w:highlight w:val="none"/>
          <w:u w:val="none"/>
          <w:lang w:val="en-US" w:eastAsia="zh-CN" w:bidi="ar"/>
        </w:rPr>
        <w:t xml:space="preserve">采购包2：九龙镇328国道以南沿街门面房数量统计表</w:t>
      </w:r>
      <w:r/>
    </w:p>
    <w:tbl>
      <w:tblPr>
        <w:tblStyle w:val="695"/>
        <w:tblW w:w="9230" w:type="dxa"/>
        <w:tblInd w:w="-27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12"/>
        <w:gridCol w:w="1445"/>
        <w:gridCol w:w="1838"/>
        <w:gridCol w:w="1385"/>
        <w:gridCol w:w="1457"/>
        <w:gridCol w:w="2293"/>
      </w:tblGrid>
      <w:tr>
        <w:trPr>
          <w:trHeight w:val="579"/>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道路</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路段</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起点</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终点</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商铺数量 （含住户）</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兴龙路</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兴龙路西侧</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328国道</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龙轩路</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兴龙路东侧</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328国道</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龙轩路</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文化广场</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文化广场周边</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疏导点</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文峰超市</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九龙路</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九龙路宝鼎西路北</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富民路</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龙园路</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九龙路宝鼎西路南</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富民路</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龙园路</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九龙路宝鼎东路北</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龙轩花园</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罗兰金都</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vMerge w:val="restart"/>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水岸豪庭北侧及东侧</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水岸豪庭北侧</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雍龙府</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德润超市</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vMerge w:val="continue"/>
            <w:textDirection w:val="lrTb"/>
            <w:noWrap w:val="false"/>
          </w:tcPr>
          <w:p>
            <w:pPr>
              <w:jc w:val="center"/>
              <w:spacing w:line="240" w:lineRule="auto"/>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水岸豪庭东侧</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德润超市</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九龙路</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龙园路</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龙园路（含雍龙府北侧、龙轩花园南门西侧）</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328国道</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龙轩路</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龙轩路</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龙轩路北侧</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兴龙路</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龙园路</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文卫路</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文卫路西侧</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328国道</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实验学校</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富民路</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富民路东侧</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328国道</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九龙路</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龙翔路</w:t>
            </w:r>
            <w:r/>
          </w:p>
        </w:tc>
        <w:tc>
          <w:tcPr>
            <w:shd w:val="clear" w:color="auto" w:fill="auto"/>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龙翔路东侧</w:t>
            </w:r>
            <w:r/>
          </w:p>
        </w:tc>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328国道</w:t>
            </w:r>
            <w:r/>
          </w:p>
        </w:tc>
        <w:tc>
          <w:tcPr>
            <w:shd w:val="clear" w:color="auto" w:fill="auto"/>
            <w:tcBorders>
              <w:top w:val="single" w:color="000000" w:sz="4" w:space="0"/>
              <w:left w:val="single" w:color="000000" w:sz="4" w:space="0"/>
              <w:bottom w:val="single" w:color="000000" w:sz="4" w:space="0"/>
              <w:right w:val="single" w:color="000000" w:sz="4" w:space="0"/>
            </w:tcBorders>
            <w:tcW w:w="1457"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九龙路</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r>
      <w:tr>
        <w:trP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6937" w:type="dxa"/>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合计（户）</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605</w:t>
            </w:r>
            <w:r/>
          </w:p>
        </w:tc>
      </w:tr>
    </w:tbl>
    <w:p>
      <w:pPr>
        <w:ind w:firstLine="420"/>
        <w:keepLines w:val="0"/>
        <w:keepNext w:val="0"/>
        <w:pageBreakBefore w:val="0"/>
        <w:spacing w:line="520" w:lineRule="exact"/>
        <w:widowControl w:val="off"/>
        <w:rPr>
          <w:rFonts w:hint="eastAsia" w:ascii="宋体" w:hAnsi="宋体" w:eastAsia="宋体" w:cs="宋体"/>
          <w:color w:val="auto"/>
          <w:sz w:val="32"/>
          <w:szCs w:val="32"/>
          <w:highlight w:val="none"/>
        </w:rPr>
      </w:pPr>
      <w:r>
        <w:rPr>
          <w:rFonts w:hint="eastAsia" w:ascii="宋体" w:hAnsi="宋体" w:eastAsia="宋体" w:cs="宋体"/>
          <w:i w:val="0"/>
          <w:iCs w:val="0"/>
          <w:color w:val="auto"/>
          <w:sz w:val="21"/>
          <w:szCs w:val="21"/>
          <w:highlight w:val="none"/>
          <w:u w:val="none"/>
          <w:lang w:val="en-US" w:eastAsia="zh-CN" w:bidi="ar"/>
        </w:rPr>
        <w:t xml:space="preserve">说明：具体数量以现场为准，本项目采购人不组织现场踏勘，供应商自行踏勘现场；生活垃圾上门收集路段不仅限于上述路段，采购人根据保洁道路沿线商铺实际需求及变化，适时调整或增加上门收集路段。</w:t>
      </w:r>
      <w:r/>
    </w:p>
    <w:p>
      <w:pPr>
        <w:pStyle w:val="868"/>
        <w:jc w:val="center"/>
        <w:keepLines w:val="0"/>
        <w:keepNext w:val="0"/>
        <w:pageBreakBefore w:val="0"/>
        <w:spacing w:line="520" w:lineRule="exact"/>
        <w:widowControl w:val="off"/>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pStyle w:val="868"/>
        <w:jc w:val="center"/>
        <w:keepLines w:val="0"/>
        <w:keepNext w:val="0"/>
        <w:pageBreakBefore w:val="0"/>
        <w:spacing w:line="520" w:lineRule="exact"/>
        <w:widowControl w:val="off"/>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pStyle w:val="868"/>
        <w:jc w:val="center"/>
        <w:keepLines w:val="0"/>
        <w:keepNext w:val="0"/>
        <w:pageBreakBefore w:val="0"/>
        <w:spacing w:line="520" w:lineRule="exact"/>
        <w:widowControl w:val="off"/>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pStyle w:val="868"/>
        <w:jc w:val="center"/>
        <w:keepLines w:val="0"/>
        <w:keepNext w:val="0"/>
        <w:pageBreakBefore w:val="0"/>
        <w:spacing w:line="520" w:lineRule="exact"/>
        <w:widowControl w:val="off"/>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pStyle w:val="868"/>
        <w:jc w:val="center"/>
        <w:keepLines w:val="0"/>
        <w:keepNext w:val="0"/>
        <w:pageBreakBefore w:val="0"/>
        <w:spacing w:line="520" w:lineRule="exact"/>
        <w:widowControl w:val="off"/>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pStyle w:val="868"/>
        <w:jc w:val="center"/>
        <w:keepLines w:val="0"/>
        <w:keepNext w:val="0"/>
        <w:pageBreakBefore w:val="0"/>
        <w:spacing w:line="520" w:lineRule="exact"/>
        <w:widowControl w:val="off"/>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pStyle w:val="868"/>
        <w:jc w:val="center"/>
        <w:keepLines w:val="0"/>
        <w:keepNext w:val="0"/>
        <w:pageBreakBefore w:val="0"/>
        <w:spacing w:line="520" w:lineRule="exact"/>
        <w:widowControl w:val="off"/>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pStyle w:val="868"/>
        <w:jc w:val="center"/>
        <w:keepLines w:val="0"/>
        <w:keepNext w:val="0"/>
        <w:pageBreakBefore w:val="0"/>
        <w:spacing w:line="520" w:lineRule="exact"/>
        <w:widowControl w:val="off"/>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pStyle w:val="868"/>
        <w:jc w:val="center"/>
        <w:keepLines w:val="0"/>
        <w:keepNext w:val="0"/>
        <w:pageBreakBefore w:val="0"/>
        <w:spacing w:line="520" w:lineRule="exact"/>
        <w:widowControl w:val="off"/>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pStyle w:val="868"/>
        <w:jc w:val="center"/>
        <w:keepLines w:val="0"/>
        <w:keepNext w:val="0"/>
        <w:pageBreakBefore w:val="0"/>
        <w:spacing w:line="520" w:lineRule="exact"/>
        <w:widowControl w:val="off"/>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pStyle w:val="868"/>
        <w:jc w:val="center"/>
        <w:keepLines w:val="0"/>
        <w:keepNext w:val="0"/>
        <w:pageBreakBefore w:val="0"/>
        <w:spacing w:line="520" w:lineRule="exact"/>
        <w:widowControl w:val="off"/>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pStyle w:val="868"/>
        <w:jc w:val="center"/>
        <w:keepLines w:val="0"/>
        <w:keepNext w:val="0"/>
        <w:pageBreakBefore w:val="0"/>
        <w:spacing w:line="520" w:lineRule="exact"/>
        <w:widowControl w:val="off"/>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pStyle w:val="868"/>
        <w:jc w:val="center"/>
        <w:keepLines w:val="0"/>
        <w:keepNext w:val="0"/>
        <w:pageBreakBefore w:val="0"/>
        <w:spacing w:line="520" w:lineRule="exact"/>
        <w:widowControl w:val="off"/>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pStyle w:val="868"/>
        <w:jc w:val="center"/>
        <w:keepLines w:val="0"/>
        <w:keepNext w:val="0"/>
        <w:pageBreakBefore w:val="0"/>
        <w:spacing w:line="520" w:lineRule="exact"/>
        <w:widowControl w:val="off"/>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pStyle w:val="868"/>
        <w:jc w:val="center"/>
        <w:keepLines w:val="0"/>
        <w:keepNext w:val="0"/>
        <w:pageBreakBefore w:val="0"/>
        <w:spacing w:line="520" w:lineRule="exact"/>
        <w:widowControl w:val="off"/>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pStyle w:val="868"/>
        <w:jc w:val="both"/>
        <w:keepLines w:val="0"/>
        <w:keepNext w:val="0"/>
        <w:pageBreakBefore w:val="0"/>
        <w:spacing w:line="520" w:lineRule="exact"/>
        <w:widowControl w:val="off"/>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r>
      <w:r/>
    </w:p>
    <w:p>
      <w:pPr>
        <w:pStyle w:val="688"/>
        <w:jc w:val="center"/>
        <w:keepLines/>
        <w:keepNext/>
        <w:pageBreakBefore w:val="0"/>
        <w:spacing w:before="157" w:after="157" w:line="560" w:lineRule="exact"/>
        <w:widowControl w:val="off"/>
        <w:rPr>
          <w:rStyle w:val="914"/>
          <w:rFonts w:hint="eastAsia" w:ascii="方正小标宋简体" w:hAnsi="方正小标宋简体" w:eastAsia="方正小标宋简体" w:cs="方正小标宋简体"/>
          <w:b w:val="0"/>
          <w:bCs w:val="0"/>
          <w:color w:val="auto"/>
          <w:sz w:val="36"/>
          <w:szCs w:val="36"/>
          <w:highlight w:val="none"/>
          <w:lang w:bidi="ar"/>
        </w:rPr>
        <w:sectPr>
          <w:headerReference w:type="even"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方正小标宋简体" w:hAnsi="方正小标宋简体" w:eastAsia="方正小标宋简体" w:cs="方正小标宋简体"/>
          <w:b w:val="0"/>
          <w:bCs w:val="0"/>
          <w:color w:val="auto"/>
          <w:sz w:val="36"/>
          <w:szCs w:val="36"/>
          <w:highlight w:val="none"/>
          <w:lang w:bidi="ar"/>
        </w:rPr>
      </w:r>
      <w:r/>
    </w:p>
    <w:p>
      <w:pPr>
        <w:pStyle w:val="868"/>
        <w:jc w:val="both"/>
        <w:keepNext w:val="0"/>
        <w:rPr>
          <w:rFonts w:hint="eastAsia" w:ascii="宋体" w:hAnsi="宋体" w:eastAsia="宋体" w:cs="宋体"/>
          <w:b/>
          <w:bCs/>
          <w:i w:val="0"/>
          <w:iCs w:val="0"/>
          <w:color w:val="auto"/>
          <w:sz w:val="28"/>
          <w:szCs w:val="28"/>
          <w:highlight w:val="none"/>
          <w:u w:val="none"/>
          <w:lang w:val="en-US" w:eastAsia="zh-CN" w:bidi="ar"/>
        </w:rPr>
      </w:pPr>
      <w:r>
        <w:rPr>
          <w:rFonts w:hint="eastAsia" w:ascii="宋体" w:hAnsi="宋体" w:eastAsia="宋体" w:cs="宋体"/>
          <w:b/>
          <w:bCs/>
          <w:i w:val="0"/>
          <w:iCs w:val="0"/>
          <w:color w:val="auto"/>
          <w:sz w:val="28"/>
          <w:szCs w:val="28"/>
          <w:highlight w:val="none"/>
          <w:u w:val="none"/>
          <w:lang w:val="en-US" w:eastAsia="zh-CN" w:bidi="ar"/>
        </w:rPr>
        <w:t xml:space="preserve">附件3：</w:t>
      </w:r>
      <w:r/>
    </w:p>
    <w:p>
      <w:pPr>
        <w:pStyle w:val="688"/>
        <w:jc w:val="center"/>
        <w:keepLines/>
        <w:keepNext/>
        <w:pageBreakBefore w:val="0"/>
        <w:spacing w:before="157" w:after="157" w:line="560" w:lineRule="exact"/>
        <w:widowControl w:val="off"/>
        <w:rPr>
          <w:rFonts w:hint="eastAsia" w:ascii="宋体" w:hAnsi="宋体" w:eastAsia="宋体" w:cs="宋体"/>
          <w:b/>
          <w:bCs/>
          <w:i w:val="0"/>
          <w:iCs w:val="0"/>
          <w:color w:val="auto"/>
          <w:sz w:val="28"/>
          <w:szCs w:val="28"/>
          <w:highlight w:val="none"/>
          <w:u w:val="none"/>
          <w:lang w:val="en-US" w:eastAsia="zh-CN" w:bidi="ar"/>
        </w:rPr>
      </w:pPr>
      <w:r>
        <w:rPr>
          <w:rFonts w:hint="eastAsia" w:ascii="宋体" w:hAnsi="宋体" w:eastAsia="宋体" w:cs="宋体"/>
          <w:b/>
          <w:bCs/>
          <w:i w:val="0"/>
          <w:iCs w:val="0"/>
          <w:color w:val="auto"/>
          <w:sz w:val="28"/>
          <w:szCs w:val="28"/>
          <w:highlight w:val="none"/>
          <w:u w:val="none"/>
          <w:lang w:val="en-US" w:eastAsia="zh-CN" w:bidi="ar"/>
        </w:rPr>
        <w:t xml:space="preserve">九龙镇道路保洁、垃圾收集服务质量考核表</w:t>
      </w:r>
      <w:r/>
    </w:p>
    <w:p>
      <w:pPr>
        <w:jc w:val="both"/>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考核月份：</w:t>
      </w:r>
      <w:r>
        <w:rPr>
          <w:rFonts w:hint="eastAsia" w:ascii="宋体" w:hAnsi="宋体" w:eastAsia="宋体" w:cs="宋体"/>
          <w:b w:val="0"/>
          <w:bCs w:val="0"/>
          <w:color w:val="auto"/>
          <w:sz w:val="21"/>
          <w:szCs w:val="21"/>
          <w:highlight w:val="none"/>
          <w:u w:val="single"/>
          <w:lang w:val="en-US" w:eastAsia="zh-CN" w:bidi="ar"/>
        </w:rPr>
        <w:t xml:space="preserve">          </w:t>
      </w:r>
      <w:r>
        <w:rPr>
          <w:rFonts w:hint="eastAsia" w:ascii="宋体" w:hAnsi="宋体" w:eastAsia="宋体" w:cs="宋体"/>
          <w:b w:val="0"/>
          <w:bCs w:val="0"/>
          <w:color w:val="auto"/>
          <w:sz w:val="21"/>
          <w:szCs w:val="21"/>
          <w:highlight w:val="none"/>
          <w:lang w:val="en-US" w:eastAsia="zh-CN" w:bidi="ar"/>
        </w:rPr>
        <w:t xml:space="preserve">                                                                               月度得分： </w:t>
      </w:r>
      <w:r>
        <w:rPr>
          <w:rFonts w:hint="eastAsia" w:ascii="宋体" w:hAnsi="宋体" w:eastAsia="宋体" w:cs="宋体"/>
          <w:b w:val="0"/>
          <w:bCs w:val="0"/>
          <w:color w:val="auto"/>
          <w:sz w:val="21"/>
          <w:szCs w:val="21"/>
          <w:highlight w:val="none"/>
          <w:u w:val="single"/>
          <w:lang w:val="en-US" w:eastAsia="zh-CN" w:bidi="ar"/>
        </w:rPr>
        <w:t xml:space="preserve">      </w:t>
      </w:r>
      <w:r>
        <w:rPr>
          <w:rFonts w:hint="eastAsia" w:ascii="宋体" w:hAnsi="宋体" w:eastAsia="宋体" w:cs="宋体"/>
          <w:b w:val="0"/>
          <w:bCs w:val="0"/>
          <w:color w:val="auto"/>
          <w:sz w:val="21"/>
          <w:szCs w:val="21"/>
          <w:highlight w:val="none"/>
          <w:lang w:val="en-US" w:eastAsia="zh-CN" w:bidi="ar"/>
        </w:rPr>
        <w:t xml:space="preserve">    </w:t>
      </w:r>
      <w:r/>
    </w:p>
    <w:tbl>
      <w:tblPr>
        <w:tblStyle w:val="695"/>
        <w:tblW w:w="14022" w:type="dxa"/>
        <w:tblInd w:w="0" w:type="dxa"/>
        <w:tblLayout w:type="fixed"/>
        <w:tblCellMar>
          <w:left w:w="15" w:type="dxa"/>
          <w:top w:w="15" w:type="dxa"/>
          <w:right w:w="15" w:type="dxa"/>
          <w:bottom w:w="15" w:type="dxa"/>
        </w:tblCellMar>
        <w:tblLook w:val="04A0" w:firstRow="1" w:lastRow="0" w:firstColumn="1" w:lastColumn="0" w:noHBand="0" w:noVBand="1"/>
      </w:tblPr>
      <w:tblGrid>
        <w:gridCol w:w="702"/>
        <w:gridCol w:w="1470"/>
        <w:gridCol w:w="8909"/>
        <w:gridCol w:w="2941"/>
      </w:tblGrid>
      <w:tr>
        <w:trPr>
          <w:trHeight w:val="380"/>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bidi="ar"/>
              </w:rPr>
              <w:t xml:space="preserve">检查</w:t>
            </w:r>
            <w:r>
              <w:rPr>
                <w:rFonts w:hint="eastAsia" w:ascii="宋体" w:hAnsi="宋体" w:eastAsia="宋体" w:cs="宋体"/>
                <w:b/>
                <w:bCs/>
                <w:color w:val="auto"/>
                <w:sz w:val="21"/>
                <w:szCs w:val="21"/>
                <w:highlight w:val="none"/>
                <w:lang w:bidi="ar"/>
              </w:rPr>
              <w:t xml:space="preserve">项目</w:t>
            </w:r>
            <w:r/>
          </w:p>
        </w:tc>
        <w:tc>
          <w:tcPr>
            <w:tcBorders>
              <w:top w:val="single" w:color="000000" w:sz="4" w:space="0"/>
              <w:left w:val="single" w:color="000000" w:sz="4" w:space="0"/>
              <w:bottom w:val="single" w:color="000000" w:sz="4" w:space="0"/>
              <w:right w:val="single" w:color="000000" w:sz="4" w:space="0"/>
            </w:tcBorders>
            <w:tcW w:w="8909" w:type="dxa"/>
            <w:vAlign w:val="center"/>
            <w:textDirection w:val="lrTb"/>
            <w:noWrap w:val="false"/>
          </w:tcPr>
          <w:p>
            <w:pPr>
              <w:jc w:val="center"/>
              <w:widowControl/>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eastAsia="zh-CN" w:bidi="ar"/>
              </w:rPr>
              <w:t xml:space="preserve">扣分</w:t>
            </w:r>
            <w:r>
              <w:rPr>
                <w:rFonts w:hint="eastAsia" w:ascii="宋体" w:hAnsi="宋体" w:eastAsia="宋体" w:cs="宋体"/>
                <w:b/>
                <w:bCs/>
                <w:color w:val="auto"/>
                <w:sz w:val="21"/>
                <w:szCs w:val="21"/>
                <w:highlight w:val="none"/>
                <w:lang w:bidi="ar"/>
              </w:rPr>
              <w:t xml:space="preserve">标准</w:t>
            </w:r>
            <w:r/>
          </w:p>
        </w:tc>
        <w:tc>
          <w:tcPr>
            <w:tcBorders>
              <w:top w:val="single" w:color="000000" w:sz="4" w:space="0"/>
              <w:left w:val="single" w:color="000000" w:sz="4" w:space="0"/>
              <w:bottom w:val="single" w:color="000000" w:sz="4" w:space="0"/>
              <w:right w:val="single" w:color="000000" w:sz="4" w:space="0"/>
            </w:tcBorders>
            <w:tcW w:w="2941" w:type="dxa"/>
            <w:vAlign w:val="center"/>
            <w:textDirection w:val="lrTb"/>
            <w:noWrap w:val="false"/>
          </w:tcPr>
          <w:p>
            <w:pPr>
              <w:jc w:val="center"/>
              <w:widowControl/>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bidi="ar"/>
              </w:rPr>
              <w:t xml:space="preserve">扣分情况</w:t>
            </w:r>
            <w:r/>
          </w:p>
        </w:tc>
      </w:tr>
      <w:tr>
        <w:trPr>
          <w:trHeight w:val="404"/>
        </w:trPr>
        <w:tc>
          <w:tcPr>
            <w:tcBorders>
              <w:top w:val="single" w:color="000000" w:sz="4" w:space="0"/>
              <w:left w:val="single" w:color="000000" w:sz="4" w:space="0"/>
              <w:right w:val="single" w:color="000000" w:sz="4" w:space="0"/>
            </w:tcBorders>
            <w:tcW w:w="702"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一</w:t>
            </w:r>
            <w:r/>
          </w:p>
        </w:tc>
        <w:tc>
          <w:tcPr>
            <w:tcBorders>
              <w:top w:val="single" w:color="000000" w:sz="4" w:space="0"/>
              <w:left w:val="single" w:color="000000" w:sz="4" w:space="0"/>
              <w:right w:val="single" w:color="000000" w:sz="4" w:space="0"/>
            </w:tcBorders>
            <w:tcW w:w="1470" w:type="dxa"/>
            <w:vAlign w:val="center"/>
            <w:vMerge w:val="restart"/>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管理指标落实</w:t>
            </w:r>
            <w:r/>
          </w:p>
        </w:tc>
        <w:tc>
          <w:tcPr>
            <w:tcBorders>
              <w:top w:val="single" w:color="000000" w:sz="4" w:space="0"/>
              <w:left w:val="single" w:color="000000" w:sz="4" w:space="0"/>
              <w:bottom w:val="single" w:color="000000" w:sz="4" w:space="0"/>
              <w:right w:val="single" w:color="000000" w:sz="4" w:space="0"/>
            </w:tcBorders>
            <w:tcW w:w="8909"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1.</w:t>
            </w:r>
            <w:r>
              <w:rPr>
                <w:rFonts w:hint="eastAsia" w:ascii="宋体" w:hAnsi="宋体" w:eastAsia="宋体" w:cs="宋体"/>
                <w:color w:val="auto"/>
                <w:spacing w:val="2"/>
                <w:sz w:val="21"/>
                <w:szCs w:val="21"/>
                <w:highlight w:val="none"/>
                <w:lang w:val="en-US" w:eastAsia="zh-CN"/>
              </w:rPr>
              <w:t xml:space="preserve">上午8点前集中清扫一遍，其余时间巡回保洁。未按要求完成普扫的，每条道路每次扣2分。</w:t>
            </w:r>
            <w:r/>
          </w:p>
        </w:tc>
        <w:tc>
          <w:tcPr>
            <w:tcBorders>
              <w:top w:val="single" w:color="000000" w:sz="4" w:space="0"/>
              <w:left w:val="single" w:color="000000" w:sz="4" w:space="0"/>
              <w:bottom w:val="single" w:color="000000" w:sz="4" w:space="0"/>
              <w:right w:val="single" w:color="000000" w:sz="4" w:space="0"/>
            </w:tcBorders>
            <w:tcW w:w="2941"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r>
            <w:r/>
          </w:p>
        </w:tc>
      </w:tr>
      <w:tr>
        <w:trPr>
          <w:trHeight w:val="342"/>
        </w:trPr>
        <w:tc>
          <w:tcPr>
            <w:tcBorders>
              <w:left w:val="single" w:color="000000" w:sz="4" w:space="0"/>
              <w:right w:val="single" w:color="000000" w:sz="4" w:space="0"/>
            </w:tcBorders>
            <w:tcW w:w="702" w:type="dxa"/>
            <w:vAlign w:val="center"/>
            <w:vMerge w:val="continue"/>
            <w:textDirection w:val="lrTb"/>
            <w:noWrap w:val="false"/>
          </w:tcPr>
          <w:p>
            <w:pPr>
              <w:ind w:firstLine="42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1470" w:type="dxa"/>
            <w:vAlign w:val="center"/>
            <w:vMerge w:val="continue"/>
            <w:textDirection w:val="lrTb"/>
            <w:noWrap w:val="false"/>
          </w:tcPr>
          <w:p>
            <w:pPr>
              <w:ind w:firstLine="42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909"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2.</w:t>
            </w:r>
            <w:r>
              <w:rPr>
                <w:rFonts w:hint="eastAsia" w:ascii="宋体" w:hAnsi="宋体" w:eastAsia="宋体" w:cs="宋体"/>
                <w:color w:val="auto"/>
                <w:spacing w:val="2"/>
                <w:sz w:val="21"/>
                <w:szCs w:val="21"/>
                <w:highlight w:val="none"/>
                <w:lang w:val="en-US" w:eastAsia="zh-CN"/>
              </w:rPr>
              <w:t xml:space="preserve">未发现保洁人员的酌情扣1至5分，道路未做到每日保洁的，每条道路每次扣5分。  </w:t>
            </w:r>
            <w:r/>
          </w:p>
        </w:tc>
        <w:tc>
          <w:tcPr>
            <w:tcBorders>
              <w:top w:val="single" w:color="000000" w:sz="4" w:space="0"/>
              <w:left w:val="single" w:color="000000" w:sz="4" w:space="0"/>
              <w:bottom w:val="single" w:color="000000" w:sz="4" w:space="0"/>
              <w:right w:val="single" w:color="000000" w:sz="4" w:space="0"/>
            </w:tcBorders>
            <w:tcW w:w="2941"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r>
            <w:r/>
          </w:p>
        </w:tc>
      </w:tr>
      <w:tr>
        <w:trPr>
          <w:trHeight w:val="548"/>
        </w:trPr>
        <w:tc>
          <w:tcPr>
            <w:tcBorders>
              <w:top w:val="single" w:color="000000" w:sz="4" w:space="0"/>
              <w:left w:val="single" w:color="000000" w:sz="4" w:space="0"/>
              <w:right w:val="single" w:color="000000" w:sz="4" w:space="0"/>
            </w:tcBorders>
            <w:tcW w:w="702"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二</w:t>
            </w:r>
            <w:r/>
          </w:p>
        </w:tc>
        <w:tc>
          <w:tcPr>
            <w:tcBorders>
              <w:top w:val="single" w:color="000000" w:sz="4" w:space="0"/>
              <w:left w:val="single" w:color="000000" w:sz="4" w:space="0"/>
              <w:right w:val="single" w:color="000000" w:sz="4" w:space="0"/>
            </w:tcBorders>
            <w:tcW w:w="1470" w:type="dxa"/>
            <w:vAlign w:val="center"/>
            <w:vMerge w:val="restart"/>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道路保洁质量</w:t>
            </w:r>
            <w:r/>
          </w:p>
        </w:tc>
        <w:tc>
          <w:tcPr>
            <w:tcBorders>
              <w:top w:val="single" w:color="000000" w:sz="4" w:space="0"/>
              <w:left w:val="single" w:color="000000" w:sz="4" w:space="0"/>
              <w:bottom w:val="single" w:color="000000" w:sz="4" w:space="0"/>
              <w:right w:val="single" w:color="000000" w:sz="4" w:space="0"/>
            </w:tcBorders>
            <w:tcW w:w="8909"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1.</w:t>
            </w:r>
            <w:r>
              <w:rPr>
                <w:rFonts w:hint="eastAsia" w:ascii="宋体" w:hAnsi="宋体" w:eastAsia="宋体" w:cs="宋体"/>
                <w:color w:val="auto"/>
                <w:spacing w:val="2"/>
                <w:sz w:val="21"/>
                <w:szCs w:val="21"/>
                <w:highlight w:val="none"/>
                <w:lang w:val="en-US" w:eastAsia="zh-CN"/>
              </w:rPr>
              <w:t xml:space="preserve">部分路面、人行道（含店前区域）、树圈等漏扫的每处扣1分，路面白色垃圾（杂物）≥3例的，每3例扣1分，路面有暴露垃圾堆的每处扣3分。</w:t>
            </w:r>
            <w:r/>
          </w:p>
        </w:tc>
        <w:tc>
          <w:tcPr>
            <w:tcBorders>
              <w:top w:val="single" w:color="000000" w:sz="4" w:space="0"/>
              <w:left w:val="single" w:color="000000" w:sz="4" w:space="0"/>
              <w:bottom w:val="single" w:color="000000" w:sz="4" w:space="0"/>
              <w:right w:val="single" w:color="000000" w:sz="4" w:space="0"/>
            </w:tcBorders>
            <w:tcW w:w="2941"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r>
            <w:r/>
          </w:p>
        </w:tc>
      </w:tr>
      <w:tr>
        <w:trPr>
          <w:trHeight w:val="468"/>
        </w:trPr>
        <w:tc>
          <w:tcPr>
            <w:tcBorders>
              <w:left w:val="single" w:color="000000" w:sz="4" w:space="0"/>
              <w:right w:val="single" w:color="000000" w:sz="4" w:space="0"/>
            </w:tcBorders>
            <w:tcW w:w="702" w:type="dxa"/>
            <w:vAlign w:val="center"/>
            <w:vMerge w:val="continue"/>
            <w:textDirection w:val="lrTb"/>
            <w:noWrap w:val="false"/>
          </w:tcPr>
          <w:p>
            <w:pPr>
              <w:ind w:firstLine="42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left w:val="single" w:color="000000" w:sz="4" w:space="0"/>
              <w:right w:val="single" w:color="000000" w:sz="4" w:space="0"/>
            </w:tcBorders>
            <w:tcW w:w="1470" w:type="dxa"/>
            <w:vAlign w:val="center"/>
            <w:vMerge w:val="continue"/>
            <w:textDirection w:val="lrTb"/>
            <w:noWrap w:val="false"/>
          </w:tcPr>
          <w:p>
            <w:pPr>
              <w:ind w:firstLine="42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909"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2.</w:t>
            </w:r>
            <w:r>
              <w:rPr>
                <w:rFonts w:hint="eastAsia" w:ascii="宋体" w:hAnsi="宋体" w:eastAsia="宋体" w:cs="宋体"/>
                <w:color w:val="auto"/>
                <w:spacing w:val="2"/>
                <w:sz w:val="21"/>
                <w:szCs w:val="21"/>
                <w:highlight w:val="none"/>
                <w:lang w:val="en-US" w:eastAsia="zh-CN"/>
              </w:rPr>
              <w:t xml:space="preserve">道路沿线绿地内成堆垃圾未及时清理，＜0.5㎡的每处扣1分，＜2㎡扣2分</w:t>
            </w:r>
            <w:r>
              <w:rPr>
                <w:rFonts w:hint="eastAsia" w:ascii="宋体" w:hAnsi="宋体" w:cs="宋体"/>
                <w:color w:val="auto"/>
                <w:spacing w:val="2"/>
                <w:sz w:val="21"/>
                <w:szCs w:val="21"/>
                <w:highlight w:val="none"/>
                <w:lang w:val="en-US" w:eastAsia="zh-CN"/>
              </w:rPr>
              <w:t xml:space="preserve">，</w:t>
            </w:r>
            <w:r>
              <w:rPr>
                <w:rFonts w:hint="eastAsia" w:ascii="宋体" w:hAnsi="宋体" w:eastAsia="宋体" w:cs="宋体"/>
                <w:color w:val="auto"/>
                <w:spacing w:val="2"/>
                <w:sz w:val="21"/>
                <w:szCs w:val="21"/>
                <w:highlight w:val="none"/>
                <w:lang w:val="en-US" w:eastAsia="zh-CN"/>
              </w:rPr>
              <w:t xml:space="preserve">≥2㎡扣3分；绿化带内有明显白色垃圾≥2例的，每2例扣0.5分。</w:t>
            </w:r>
            <w:r/>
          </w:p>
        </w:tc>
        <w:tc>
          <w:tcPr>
            <w:tcBorders>
              <w:top w:val="single" w:color="000000" w:sz="4" w:space="0"/>
              <w:left w:val="single" w:color="000000" w:sz="4" w:space="0"/>
              <w:bottom w:val="single" w:color="000000" w:sz="4" w:space="0"/>
              <w:right w:val="single" w:color="000000" w:sz="4" w:space="0"/>
            </w:tcBorders>
            <w:tcW w:w="2941"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r>
            <w:r/>
          </w:p>
        </w:tc>
      </w:tr>
      <w:tr>
        <w:trPr>
          <w:trHeight w:val="428"/>
        </w:trPr>
        <w:tc>
          <w:tcPr>
            <w:tcBorders>
              <w:left w:val="single" w:color="000000" w:sz="4" w:space="0"/>
              <w:right w:val="single" w:color="000000" w:sz="4" w:space="0"/>
            </w:tcBorders>
            <w:tcW w:w="702" w:type="dxa"/>
            <w:vAlign w:val="center"/>
            <w:vMerge w:val="continue"/>
            <w:textDirection w:val="lrTb"/>
            <w:noWrap w:val="false"/>
          </w:tcPr>
          <w:p>
            <w:pPr>
              <w:ind w:firstLine="420"/>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Borders>
              <w:left w:val="single" w:color="000000" w:sz="4" w:space="0"/>
              <w:right w:val="single" w:color="000000" w:sz="4" w:space="0"/>
            </w:tcBorders>
            <w:tcW w:w="1470" w:type="dxa"/>
            <w:vAlign w:val="center"/>
            <w:vMerge w:val="continue"/>
            <w:textDirection w:val="lrTb"/>
            <w:noWrap w:val="false"/>
          </w:tcPr>
          <w:p>
            <w:pPr>
              <w:ind w:firstLine="420"/>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909"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3.</w:t>
            </w:r>
            <w:r>
              <w:rPr>
                <w:rFonts w:hint="eastAsia" w:ascii="宋体" w:hAnsi="宋体" w:eastAsia="宋体" w:cs="宋体"/>
                <w:color w:val="auto"/>
                <w:spacing w:val="2"/>
                <w:sz w:val="21"/>
                <w:szCs w:val="21"/>
                <w:highlight w:val="none"/>
                <w:lang w:val="en-US" w:eastAsia="zh-CN"/>
              </w:rPr>
              <w:t xml:space="preserve">每日对小广告巡查清理，沿线立面及路面上小广告、乱涂画等未及时清理的，每处扣0.5分； </w:t>
            </w:r>
            <w:r/>
          </w:p>
        </w:tc>
        <w:tc>
          <w:tcPr>
            <w:tcBorders>
              <w:top w:val="single" w:color="000000" w:sz="4" w:space="0"/>
              <w:left w:val="single" w:color="000000" w:sz="4" w:space="0"/>
              <w:bottom w:val="single" w:color="000000" w:sz="4" w:space="0"/>
              <w:right w:val="single" w:color="000000" w:sz="4" w:space="0"/>
            </w:tcBorders>
            <w:tcW w:w="2941"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r>
            <w:r/>
          </w:p>
        </w:tc>
      </w:tr>
      <w:tr>
        <w:trPr>
          <w:trHeight w:val="364"/>
        </w:trPr>
        <w:tc>
          <w:tcPr>
            <w:tcBorders>
              <w:left w:val="single" w:color="000000" w:sz="4" w:space="0"/>
              <w:right w:val="single" w:color="000000" w:sz="4" w:space="0"/>
            </w:tcBorders>
            <w:tcW w:w="702" w:type="dxa"/>
            <w:vAlign w:val="center"/>
            <w:vMerge w:val="continue"/>
            <w:textDirection w:val="lrTb"/>
            <w:noWrap w:val="false"/>
          </w:tcPr>
          <w:p>
            <w:pPr>
              <w:ind w:firstLine="420"/>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Borders>
              <w:left w:val="single" w:color="000000" w:sz="4" w:space="0"/>
              <w:right w:val="single" w:color="000000" w:sz="4" w:space="0"/>
            </w:tcBorders>
            <w:tcW w:w="1470" w:type="dxa"/>
            <w:vAlign w:val="center"/>
            <w:vMerge w:val="continue"/>
            <w:textDirection w:val="lrTb"/>
            <w:noWrap w:val="false"/>
          </w:tcPr>
          <w:p>
            <w:pPr>
              <w:ind w:firstLine="420"/>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909"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4.</w:t>
            </w:r>
            <w:r>
              <w:rPr>
                <w:rFonts w:hint="eastAsia" w:ascii="宋体" w:hAnsi="宋体" w:eastAsia="宋体" w:cs="宋体"/>
                <w:color w:val="auto"/>
                <w:spacing w:val="2"/>
                <w:sz w:val="21"/>
                <w:szCs w:val="21"/>
                <w:highlight w:val="none"/>
                <w:lang w:val="en-US" w:eastAsia="zh-CN"/>
              </w:rPr>
              <w:t xml:space="preserve">生活污水、油污点位未及时清洗的＜1㎡的每处扣0.5分，≥1㎡的每处扣1分。</w:t>
            </w:r>
            <w:r/>
          </w:p>
        </w:tc>
        <w:tc>
          <w:tcPr>
            <w:tcBorders>
              <w:top w:val="single" w:color="000000" w:sz="4" w:space="0"/>
              <w:left w:val="single" w:color="000000" w:sz="4" w:space="0"/>
              <w:bottom w:val="single" w:color="000000" w:sz="4" w:space="0"/>
              <w:right w:val="single" w:color="000000" w:sz="4" w:space="0"/>
            </w:tcBorders>
            <w:tcW w:w="2941"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r>
            <w:r/>
          </w:p>
        </w:tc>
      </w:tr>
      <w:tr>
        <w:trPr>
          <w:trHeight w:val="548"/>
        </w:trPr>
        <w:tc>
          <w:tcPr>
            <w:tcBorders>
              <w:left w:val="single" w:color="000000" w:sz="4" w:space="0"/>
              <w:right w:val="single" w:color="000000" w:sz="4" w:space="0"/>
            </w:tcBorders>
            <w:tcW w:w="702" w:type="dxa"/>
            <w:vAlign w:val="center"/>
            <w:vMerge w:val="continue"/>
            <w:textDirection w:val="lrTb"/>
            <w:noWrap w:val="false"/>
          </w:tcPr>
          <w:p>
            <w:pPr>
              <w:ind w:firstLine="420"/>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Borders>
              <w:left w:val="single" w:color="000000" w:sz="4" w:space="0"/>
              <w:right w:val="single" w:color="000000" w:sz="4" w:space="0"/>
            </w:tcBorders>
            <w:tcW w:w="1470" w:type="dxa"/>
            <w:vAlign w:val="center"/>
            <w:vMerge w:val="continue"/>
            <w:textDirection w:val="lrTb"/>
            <w:noWrap w:val="false"/>
          </w:tcPr>
          <w:p>
            <w:pPr>
              <w:ind w:firstLine="420"/>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909"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5.</w:t>
            </w:r>
            <w:r>
              <w:rPr>
                <w:rFonts w:hint="eastAsia" w:ascii="宋体" w:hAnsi="宋体" w:eastAsia="宋体" w:cs="宋体"/>
                <w:color w:val="auto"/>
                <w:spacing w:val="2"/>
                <w:sz w:val="21"/>
                <w:szCs w:val="21"/>
                <w:highlight w:val="none"/>
                <w:lang w:val="en-US" w:eastAsia="zh-CN"/>
              </w:rPr>
              <w:t xml:space="preserve">晴天道路积水未及时处理的，积水＜3㎡的每处扣2分，≥3㎡的每处扣4分，冬季晴天路面积水导致路面结冰的每处扣5分，导致有责交通事故的每次扣10分。</w:t>
            </w:r>
            <w:r/>
          </w:p>
        </w:tc>
        <w:tc>
          <w:tcPr>
            <w:tcBorders>
              <w:top w:val="single" w:color="000000" w:sz="4" w:space="0"/>
              <w:left w:val="single" w:color="000000" w:sz="4" w:space="0"/>
              <w:bottom w:val="single" w:color="000000" w:sz="4" w:space="0"/>
              <w:right w:val="single" w:color="000000" w:sz="4" w:space="0"/>
            </w:tcBorders>
            <w:tcW w:w="2941" w:type="dxa"/>
            <w:vAlign w:val="center"/>
            <w:textDirection w:val="lrTb"/>
            <w:noWrap w:val="false"/>
          </w:tcPr>
          <w:p>
            <w:pPr>
              <w:ind w:firstLine="420"/>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488"/>
        </w:trPr>
        <w:tc>
          <w:tcPr>
            <w:tcBorders>
              <w:left w:val="single" w:color="000000" w:sz="4" w:space="0"/>
              <w:bottom w:val="single" w:color="000000" w:sz="4" w:space="0"/>
              <w:right w:val="single" w:color="000000" w:sz="4" w:space="0"/>
            </w:tcBorders>
            <w:tcW w:w="702" w:type="dxa"/>
            <w:vAlign w:val="center"/>
            <w:vMerge w:val="continue"/>
            <w:textDirection w:val="lrTb"/>
            <w:noWrap w:val="false"/>
          </w:tcPr>
          <w:p>
            <w:pPr>
              <w:ind w:firstLine="420"/>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Borders>
              <w:left w:val="single" w:color="000000" w:sz="4" w:space="0"/>
              <w:bottom w:val="single" w:color="000000" w:sz="4" w:space="0"/>
              <w:right w:val="single" w:color="000000" w:sz="4" w:space="0"/>
            </w:tcBorders>
            <w:tcW w:w="1470" w:type="dxa"/>
            <w:vAlign w:val="center"/>
            <w:vMerge w:val="continue"/>
            <w:textDirection w:val="lrTb"/>
            <w:noWrap w:val="false"/>
          </w:tcPr>
          <w:p>
            <w:pPr>
              <w:ind w:firstLine="420"/>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909"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6.</w:t>
            </w:r>
            <w:r>
              <w:rPr>
                <w:rFonts w:hint="eastAsia" w:ascii="宋体" w:hAnsi="宋体" w:eastAsia="宋体" w:cs="宋体"/>
                <w:color w:val="auto"/>
                <w:spacing w:val="2"/>
                <w:sz w:val="21"/>
                <w:szCs w:val="21"/>
                <w:highlight w:val="none"/>
                <w:lang w:val="en-US" w:eastAsia="zh-CN"/>
              </w:rPr>
              <w:t xml:space="preserve">道路积泥（沙石）长度＜5米的每处扣1分，＜10米的每处扣2分，＜20米的每处扣3分，≥20米的每处扣4分。道路沿线建筑垃圾</w:t>
            </w:r>
            <w:r>
              <w:rPr>
                <w:rFonts w:hint="eastAsia" w:ascii="宋体" w:hAnsi="宋体" w:cs="宋体"/>
                <w:color w:val="auto"/>
                <w:spacing w:val="2"/>
                <w:sz w:val="21"/>
                <w:szCs w:val="21"/>
                <w:highlight w:val="none"/>
                <w:lang w:val="en-US" w:eastAsia="zh-CN"/>
              </w:rPr>
              <w:t xml:space="preserve">（</w:t>
            </w:r>
            <w:r>
              <w:rPr>
                <w:rFonts w:hint="eastAsia" w:ascii="宋体" w:hAnsi="宋体" w:eastAsia="宋体" w:cs="宋体"/>
                <w:color w:val="auto"/>
                <w:spacing w:val="2"/>
                <w:sz w:val="21"/>
                <w:szCs w:val="21"/>
                <w:highlight w:val="none"/>
                <w:lang w:val="en-US" w:eastAsia="zh-CN"/>
              </w:rPr>
              <w:t xml:space="preserve">装潢垃圾</w:t>
            </w:r>
            <w:r>
              <w:rPr>
                <w:rFonts w:hint="eastAsia" w:ascii="宋体" w:hAnsi="宋体" w:cs="宋体"/>
                <w:color w:val="auto"/>
                <w:spacing w:val="2"/>
                <w:sz w:val="21"/>
                <w:szCs w:val="21"/>
                <w:highlight w:val="none"/>
                <w:lang w:val="en-US" w:eastAsia="zh-CN"/>
              </w:rPr>
              <w:t xml:space="preserve">）</w:t>
            </w:r>
            <w:r>
              <w:rPr>
                <w:rFonts w:hint="eastAsia" w:ascii="宋体" w:hAnsi="宋体" w:eastAsia="宋体" w:cs="宋体"/>
                <w:color w:val="auto"/>
                <w:spacing w:val="2"/>
                <w:sz w:val="21"/>
                <w:szCs w:val="21"/>
                <w:highlight w:val="none"/>
                <w:lang w:val="en-US" w:eastAsia="zh-CN"/>
              </w:rPr>
              <w:t xml:space="preserve">＜1m³的每处扣2分，≥1m³的每处扣4分。</w:t>
            </w:r>
            <w:r/>
          </w:p>
        </w:tc>
        <w:tc>
          <w:tcPr>
            <w:tcBorders>
              <w:top w:val="single" w:color="000000" w:sz="4" w:space="0"/>
              <w:left w:val="single" w:color="000000" w:sz="4" w:space="0"/>
              <w:bottom w:val="single" w:color="000000" w:sz="4" w:space="0"/>
              <w:right w:val="single" w:color="000000" w:sz="4" w:space="0"/>
            </w:tcBorders>
            <w:tcW w:w="2941" w:type="dxa"/>
            <w:vAlign w:val="center"/>
            <w:textDirection w:val="lrTb"/>
            <w:noWrap w:val="false"/>
          </w:tcPr>
          <w:p>
            <w:p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r>
        <w:trPr>
          <w:trHeight w:val="413"/>
        </w:trPr>
        <w:tc>
          <w:tcPr>
            <w:tcBorders>
              <w:left w:val="single" w:color="000000" w:sz="4" w:space="0"/>
              <w:bottom w:val="single" w:color="000000" w:sz="4" w:space="0"/>
              <w:right w:val="single" w:color="000000" w:sz="4" w:space="0"/>
            </w:tcBorders>
            <w:tcW w:w="702" w:type="dxa"/>
            <w:vAlign w:val="center"/>
            <w:vMerge w:val="continue"/>
            <w:textDirection w:val="lrTb"/>
            <w:noWrap w:val="false"/>
          </w:tcPr>
          <w:p>
            <w:pPr>
              <w:ind w:firstLine="420"/>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Borders>
              <w:left w:val="single" w:color="000000" w:sz="4" w:space="0"/>
              <w:bottom w:val="single" w:color="000000" w:sz="4" w:space="0"/>
              <w:right w:val="single" w:color="000000" w:sz="4" w:space="0"/>
            </w:tcBorders>
            <w:tcW w:w="1470" w:type="dxa"/>
            <w:vAlign w:val="center"/>
            <w:vMerge w:val="continue"/>
            <w:textDirection w:val="lrTb"/>
            <w:noWrap w:val="false"/>
          </w:tcPr>
          <w:p>
            <w:pPr>
              <w:ind w:firstLine="420"/>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909"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7.</w:t>
            </w:r>
            <w:r>
              <w:rPr>
                <w:rFonts w:hint="eastAsia" w:ascii="宋体" w:hAnsi="宋体" w:eastAsia="宋体" w:cs="宋体"/>
                <w:color w:val="auto"/>
                <w:spacing w:val="2"/>
                <w:sz w:val="21"/>
                <w:szCs w:val="21"/>
                <w:highlight w:val="none"/>
                <w:lang w:val="en-US" w:eastAsia="zh-CN"/>
              </w:rPr>
              <w:t xml:space="preserve">建筑工地出入口有泥沙的，＜5㎡的每处扣2分，＜10㎡扣4分，≥10㎡扣6分。</w:t>
            </w:r>
            <w:r/>
          </w:p>
        </w:tc>
        <w:tc>
          <w:tcPr>
            <w:tcBorders>
              <w:top w:val="single" w:color="000000" w:sz="4" w:space="0"/>
              <w:left w:val="single" w:color="000000" w:sz="4" w:space="0"/>
              <w:bottom w:val="single" w:color="000000" w:sz="4" w:space="0"/>
              <w:right w:val="single" w:color="000000" w:sz="4" w:space="0"/>
            </w:tcBorders>
            <w:tcW w:w="2941"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r>
            <w:r/>
          </w:p>
        </w:tc>
      </w:tr>
      <w:tr>
        <w:trPr>
          <w:trHeight w:val="434"/>
        </w:trPr>
        <w:tc>
          <w:tcPr>
            <w:tcBorders>
              <w:top w:val="single" w:color="000000" w:sz="4" w:space="0"/>
              <w:left w:val="single" w:color="000000" w:sz="4" w:space="0"/>
              <w:bottom w:val="single" w:color="000000" w:sz="4" w:space="0"/>
              <w:right w:val="single" w:color="000000" w:sz="4" w:space="0"/>
            </w:tcBorders>
            <w:tcW w:w="702" w:type="dxa"/>
            <w:vAlign w:val="center"/>
            <w:vMerge w:val="restart"/>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三</w:t>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垃圾收运质量</w:t>
            </w:r>
            <w:r/>
          </w:p>
        </w:tc>
        <w:tc>
          <w:tcPr>
            <w:tcBorders>
              <w:top w:val="single" w:color="000000" w:sz="4" w:space="0"/>
              <w:left w:val="single" w:color="000000" w:sz="4" w:space="0"/>
              <w:bottom w:val="single" w:color="000000" w:sz="4" w:space="0"/>
              <w:right w:val="single" w:color="000000" w:sz="4" w:space="0"/>
            </w:tcBorders>
            <w:tcW w:w="8909"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1.</w:t>
            </w:r>
            <w:r>
              <w:rPr>
                <w:rFonts w:hint="eastAsia" w:ascii="宋体" w:hAnsi="宋体" w:eastAsia="宋体" w:cs="宋体"/>
                <w:color w:val="auto"/>
                <w:spacing w:val="2"/>
                <w:sz w:val="21"/>
                <w:szCs w:val="21"/>
                <w:highlight w:val="none"/>
                <w:lang w:val="en-US" w:eastAsia="zh-CN"/>
              </w:rPr>
              <w:t xml:space="preserve">垃圾桶满溢或周围有暴露垃圾，需在60分钟内清理，未完成的，每次扣2分。</w:t>
            </w:r>
            <w:r/>
          </w:p>
        </w:tc>
        <w:tc>
          <w:tcPr>
            <w:tcBorders>
              <w:top w:val="single" w:color="000000" w:sz="4" w:space="0"/>
              <w:left w:val="single" w:color="000000" w:sz="4" w:space="0"/>
              <w:bottom w:val="single" w:color="000000" w:sz="4" w:space="0"/>
              <w:right w:val="single" w:color="000000" w:sz="4" w:space="0"/>
            </w:tcBorders>
            <w:tcW w:w="2941"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r>
            <w:r/>
          </w:p>
        </w:tc>
      </w:tr>
      <w:tr>
        <w:trPr>
          <w:trHeight w:val="353"/>
        </w:trPr>
        <w:tc>
          <w:tcPr>
            <w:tcBorders>
              <w:top w:val="single" w:color="000000" w:sz="4" w:space="0"/>
              <w:left w:val="single" w:color="000000" w:sz="4" w:space="0"/>
              <w:bottom w:val="single" w:color="000000" w:sz="4" w:space="0"/>
              <w:right w:val="single" w:color="000000" w:sz="4" w:space="0"/>
            </w:tcBorders>
            <w:tcW w:w="702"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909"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2.</w:t>
            </w:r>
            <w:r>
              <w:rPr>
                <w:rFonts w:hint="eastAsia" w:ascii="宋体" w:hAnsi="宋体" w:eastAsia="宋体" w:cs="宋体"/>
                <w:color w:val="auto"/>
                <w:spacing w:val="2"/>
                <w:sz w:val="21"/>
                <w:szCs w:val="21"/>
                <w:highlight w:val="none"/>
                <w:lang w:val="en-US" w:eastAsia="zh-CN"/>
              </w:rPr>
              <w:t xml:space="preserve">垃圾归拢、归堆未及时清除的每处扣1分。</w:t>
            </w:r>
            <w:r/>
          </w:p>
        </w:tc>
        <w:tc>
          <w:tcPr>
            <w:tcBorders>
              <w:top w:val="single" w:color="000000" w:sz="4" w:space="0"/>
              <w:left w:val="single" w:color="000000" w:sz="4" w:space="0"/>
              <w:bottom w:val="single" w:color="000000" w:sz="4" w:space="0"/>
              <w:right w:val="single" w:color="000000" w:sz="4" w:space="0"/>
            </w:tcBorders>
            <w:tcW w:w="2941"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r>
            <w:r/>
          </w:p>
        </w:tc>
      </w:tr>
      <w:tr>
        <w:trPr>
          <w:trHeight w:val="376"/>
        </w:trPr>
        <w:tc>
          <w:tcPr>
            <w:tcBorders>
              <w:top w:val="single" w:color="000000" w:sz="4" w:space="0"/>
              <w:left w:val="single" w:color="000000" w:sz="4" w:space="0"/>
              <w:bottom w:val="single" w:color="000000" w:sz="4" w:space="0"/>
              <w:right w:val="single" w:color="000000" w:sz="4" w:space="0"/>
            </w:tcBorders>
            <w:tcW w:w="702" w:type="dxa"/>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909"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3.</w:t>
            </w:r>
            <w:r>
              <w:rPr>
                <w:rFonts w:hint="eastAsia" w:ascii="宋体" w:hAnsi="宋体" w:eastAsia="宋体" w:cs="宋体"/>
                <w:color w:val="auto"/>
                <w:spacing w:val="2"/>
                <w:sz w:val="21"/>
                <w:szCs w:val="21"/>
                <w:highlight w:val="none"/>
                <w:lang w:val="en-US" w:eastAsia="zh-CN"/>
              </w:rPr>
              <w:t xml:space="preserve">垃圾清运车转运垃圾桶时，将垃圾直接倾倒路面进行转运的每次扣1分。 </w:t>
            </w:r>
            <w:r/>
          </w:p>
        </w:tc>
        <w:tc>
          <w:tcPr>
            <w:tcBorders>
              <w:top w:val="single" w:color="000000" w:sz="4" w:space="0"/>
              <w:left w:val="single" w:color="000000" w:sz="4" w:space="0"/>
              <w:bottom w:val="single" w:color="000000" w:sz="4" w:space="0"/>
              <w:right w:val="single" w:color="000000" w:sz="4" w:space="0"/>
            </w:tcBorders>
            <w:tcW w:w="2941"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r>
            <w:r/>
          </w:p>
        </w:tc>
      </w:tr>
      <w:tr>
        <w:trPr>
          <w:trHeight w:val="338"/>
        </w:trPr>
        <w:tc>
          <w:tcPr>
            <w:tcBorders>
              <w:top w:val="single" w:color="000000" w:sz="4" w:space="0"/>
              <w:left w:val="single" w:color="000000" w:sz="4" w:space="0"/>
              <w:bottom w:val="single" w:color="000000" w:sz="4" w:space="0"/>
              <w:right w:val="single" w:color="000000" w:sz="4" w:space="0"/>
            </w:tcBorders>
            <w:tcW w:w="702" w:type="dxa"/>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909"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4.</w:t>
            </w:r>
            <w:r>
              <w:rPr>
                <w:rFonts w:hint="eastAsia" w:ascii="宋体" w:hAnsi="宋体" w:eastAsia="宋体" w:cs="宋体"/>
                <w:color w:val="auto"/>
                <w:spacing w:val="2"/>
                <w:sz w:val="21"/>
                <w:szCs w:val="21"/>
                <w:highlight w:val="none"/>
                <w:lang w:val="en-US" w:eastAsia="zh-CN"/>
              </w:rPr>
              <w:t xml:space="preserve">实行“无桶化”的路段，未做到每天不少于2次上门收集的，每次扣3分。</w:t>
            </w:r>
            <w:r/>
          </w:p>
        </w:tc>
        <w:tc>
          <w:tcPr>
            <w:tcBorders>
              <w:top w:val="single" w:color="000000" w:sz="4" w:space="0"/>
              <w:left w:val="single" w:color="000000" w:sz="4" w:space="0"/>
              <w:bottom w:val="single" w:color="000000" w:sz="4" w:space="0"/>
              <w:right w:val="single" w:color="000000" w:sz="4" w:space="0"/>
            </w:tcBorders>
            <w:tcW w:w="2941"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r>
            <w:r/>
          </w:p>
        </w:tc>
      </w:tr>
      <w:tr>
        <w:trPr>
          <w:trHeight w:val="388"/>
        </w:trPr>
        <w:tc>
          <w:tcPr>
            <w:tcBorders>
              <w:top w:val="single" w:color="000000" w:sz="4" w:space="0"/>
              <w:left w:val="single" w:color="000000" w:sz="4" w:space="0"/>
              <w:bottom w:val="single" w:color="000000" w:sz="4" w:space="0"/>
              <w:right w:val="single" w:color="000000" w:sz="4" w:space="0"/>
            </w:tcBorders>
            <w:tcW w:w="702" w:type="dxa"/>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909"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5.</w:t>
            </w:r>
            <w:r>
              <w:rPr>
                <w:rFonts w:hint="eastAsia" w:ascii="宋体" w:hAnsi="宋体" w:eastAsia="宋体" w:cs="宋体"/>
                <w:color w:val="auto"/>
                <w:spacing w:val="2"/>
                <w:sz w:val="21"/>
                <w:szCs w:val="21"/>
                <w:highlight w:val="none"/>
                <w:lang w:val="en-US" w:eastAsia="zh-CN"/>
              </w:rPr>
              <w:t xml:space="preserve">所有垃圾容器每天不少于2次地毯式清理，未按规定完成的，每次扣2分；</w:t>
            </w:r>
            <w:r/>
          </w:p>
        </w:tc>
        <w:tc>
          <w:tcPr>
            <w:tcBorders>
              <w:top w:val="single" w:color="000000" w:sz="4" w:space="0"/>
              <w:left w:val="single" w:color="000000" w:sz="4" w:space="0"/>
              <w:bottom w:val="single" w:color="000000" w:sz="4" w:space="0"/>
              <w:right w:val="single" w:color="000000" w:sz="4" w:space="0"/>
            </w:tcBorders>
            <w:tcW w:w="2941"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r>
            <w:r/>
          </w:p>
        </w:tc>
      </w:tr>
      <w:tr>
        <w:trPr>
          <w:trHeight w:val="376"/>
        </w:trPr>
        <w:tc>
          <w:tcPr>
            <w:tcBorders>
              <w:top w:val="single" w:color="000000" w:sz="4" w:space="0"/>
              <w:left w:val="single" w:color="000000" w:sz="4" w:space="0"/>
              <w:bottom w:val="single" w:color="000000" w:sz="4" w:space="0"/>
              <w:right w:val="single" w:color="000000" w:sz="4" w:space="0"/>
            </w:tcBorders>
            <w:tcW w:w="702" w:type="dxa"/>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909"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6.</w:t>
            </w:r>
            <w:r>
              <w:rPr>
                <w:rFonts w:hint="eastAsia" w:ascii="宋体" w:hAnsi="宋体" w:eastAsia="宋体" w:cs="宋体"/>
                <w:color w:val="auto"/>
                <w:spacing w:val="2"/>
                <w:sz w:val="21"/>
                <w:szCs w:val="21"/>
                <w:highlight w:val="none"/>
                <w:lang w:val="en-US" w:eastAsia="zh-CN"/>
              </w:rPr>
              <w:t xml:space="preserve">出现偷倒乱倒的大量垃圾堆需在24小时内清理，未在规定时间内完成的，每次扣2分。</w:t>
            </w:r>
            <w:r/>
          </w:p>
        </w:tc>
        <w:tc>
          <w:tcPr>
            <w:tcBorders>
              <w:top w:val="single" w:color="000000" w:sz="4" w:space="0"/>
              <w:left w:val="single" w:color="000000" w:sz="4" w:space="0"/>
              <w:bottom w:val="single" w:color="000000" w:sz="4" w:space="0"/>
              <w:right w:val="single" w:color="000000" w:sz="4" w:space="0"/>
            </w:tcBorders>
            <w:tcW w:w="2941"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r>
            <w:r/>
          </w:p>
        </w:tc>
      </w:tr>
      <w:tr>
        <w:trPr>
          <w:trHeight w:val="493"/>
        </w:trPr>
        <w:tc>
          <w:tcPr>
            <w:tcBorders>
              <w:top w:val="single" w:color="000000" w:sz="4" w:space="0"/>
              <w:left w:val="single" w:color="000000" w:sz="4" w:space="0"/>
              <w:bottom w:val="single" w:color="000000" w:sz="4" w:space="0"/>
              <w:right w:val="single" w:color="000000" w:sz="4" w:space="0"/>
            </w:tcBorders>
            <w:tcW w:w="702" w:type="dxa"/>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909"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7.</w:t>
            </w:r>
            <w:r>
              <w:rPr>
                <w:rFonts w:hint="eastAsia" w:ascii="宋体" w:hAnsi="宋体" w:eastAsia="宋体" w:cs="宋体"/>
                <w:color w:val="auto"/>
                <w:spacing w:val="2"/>
                <w:sz w:val="21"/>
                <w:szCs w:val="21"/>
                <w:highlight w:val="none"/>
                <w:lang w:val="en-US" w:eastAsia="zh-CN"/>
              </w:rPr>
              <w:t xml:space="preserve">垃圾桶（箱）每周至少清洗1次，破损（无盖）垃圾桶及时更换，保持整洁、完好，未按要求完成的每次扣2分。</w:t>
            </w:r>
            <w:r/>
          </w:p>
        </w:tc>
        <w:tc>
          <w:tcPr>
            <w:tcBorders>
              <w:top w:val="single" w:color="000000" w:sz="4" w:space="0"/>
              <w:left w:val="single" w:color="000000" w:sz="4" w:space="0"/>
              <w:bottom w:val="single" w:color="000000" w:sz="4" w:space="0"/>
              <w:right w:val="single" w:color="000000" w:sz="4" w:space="0"/>
            </w:tcBorders>
            <w:tcW w:w="2941"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r>
            <w:r/>
          </w:p>
        </w:tc>
      </w:tr>
      <w:tr>
        <w:trPr>
          <w:trHeight w:val="395"/>
        </w:trPr>
        <w:tc>
          <w:tcPr>
            <w:tcBorders>
              <w:top w:val="single" w:color="000000" w:sz="4" w:space="0"/>
              <w:left w:val="single" w:color="000000" w:sz="4" w:space="0"/>
              <w:bottom w:val="single" w:color="000000" w:sz="4" w:space="0"/>
              <w:right w:val="single" w:color="000000" w:sz="4" w:space="0"/>
            </w:tcBorders>
            <w:tcW w:w="702" w:type="dxa"/>
            <w:vAlign w:val="center"/>
            <w:vMerge w:val="restart"/>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四</w:t>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numPr>
                <w:ilvl w:val="0"/>
                <w:numId w:val="0"/>
              </w:numPr>
              <w:jc w:val="center"/>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作业规范执行</w:t>
            </w:r>
            <w:r/>
          </w:p>
        </w:tc>
        <w:tc>
          <w:tcPr>
            <w:tcBorders>
              <w:top w:val="single" w:color="000000" w:sz="4" w:space="0"/>
              <w:left w:val="single" w:color="000000" w:sz="4" w:space="0"/>
              <w:bottom w:val="single" w:color="000000" w:sz="4" w:space="0"/>
              <w:right w:val="single" w:color="000000" w:sz="4" w:space="0"/>
            </w:tcBorders>
            <w:tcW w:w="8909"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1.</w:t>
            </w:r>
            <w:r>
              <w:rPr>
                <w:rFonts w:hint="eastAsia" w:ascii="宋体" w:hAnsi="宋体" w:eastAsia="宋体" w:cs="宋体"/>
                <w:color w:val="auto"/>
                <w:spacing w:val="2"/>
                <w:sz w:val="21"/>
                <w:szCs w:val="21"/>
                <w:highlight w:val="none"/>
                <w:lang w:val="en-US" w:eastAsia="zh-CN"/>
              </w:rPr>
              <w:t xml:space="preserve">清扫保洁作业不规范导致路面扬尘的，每次扣3分。</w:t>
            </w:r>
            <w:r/>
          </w:p>
        </w:tc>
        <w:tc>
          <w:tcPr>
            <w:tcBorders>
              <w:top w:val="single" w:color="000000" w:sz="4" w:space="0"/>
              <w:left w:val="single" w:color="000000" w:sz="4" w:space="0"/>
              <w:bottom w:val="single" w:color="000000" w:sz="4" w:space="0"/>
              <w:right w:val="single" w:color="000000" w:sz="4" w:space="0"/>
            </w:tcBorders>
            <w:tcW w:w="2941"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r>
            <w:r/>
          </w:p>
        </w:tc>
      </w:tr>
      <w:tr>
        <w:trPr>
          <w:trHeight w:val="395"/>
        </w:trPr>
        <w:tc>
          <w:tcPr>
            <w:tcBorders>
              <w:top w:val="single" w:color="000000" w:sz="4" w:space="0"/>
              <w:left w:val="single" w:color="000000" w:sz="4" w:space="0"/>
              <w:bottom w:val="single" w:color="000000" w:sz="4" w:space="0"/>
              <w:right w:val="single" w:color="000000" w:sz="4" w:space="0"/>
            </w:tcBorders>
            <w:tcW w:w="702" w:type="dxa"/>
            <w:vAlign w:val="center"/>
            <w:vMerge w:val="continue"/>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numPr>
                <w:ilvl w:val="0"/>
                <w:numId w:val="0"/>
              </w:num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909"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2.</w:t>
            </w:r>
            <w:r>
              <w:rPr>
                <w:rFonts w:hint="eastAsia" w:ascii="宋体" w:hAnsi="宋体" w:eastAsia="宋体" w:cs="宋体"/>
                <w:color w:val="auto"/>
                <w:spacing w:val="2"/>
                <w:sz w:val="21"/>
                <w:szCs w:val="21"/>
                <w:highlight w:val="none"/>
                <w:lang w:val="en-US" w:eastAsia="zh-CN"/>
              </w:rPr>
              <w:t xml:space="preserve">严禁焚烧垃圾，严禁将垃圾、尘土、杂物倒入绿岛、墙边、路边或下水道，每起扣5分。</w:t>
            </w:r>
            <w:r/>
          </w:p>
        </w:tc>
        <w:tc>
          <w:tcPr>
            <w:tcBorders>
              <w:top w:val="single" w:color="000000" w:sz="4" w:space="0"/>
              <w:left w:val="single" w:color="000000" w:sz="4" w:space="0"/>
              <w:bottom w:val="single" w:color="000000" w:sz="4" w:space="0"/>
              <w:right w:val="single" w:color="000000" w:sz="4" w:space="0"/>
            </w:tcBorders>
            <w:tcW w:w="2941"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zh-CN"/>
              </w:rPr>
            </w:r>
            <w:r/>
          </w:p>
        </w:tc>
      </w:tr>
      <w:tr>
        <w:trPr>
          <w:trHeight w:val="395"/>
        </w:trPr>
        <w:tc>
          <w:tcPr>
            <w:tcBorders>
              <w:top w:val="single" w:color="000000" w:sz="4" w:space="0"/>
              <w:left w:val="single" w:color="000000" w:sz="4" w:space="0"/>
              <w:bottom w:val="single" w:color="000000" w:sz="4" w:space="0"/>
              <w:right w:val="single" w:color="000000" w:sz="4" w:space="0"/>
            </w:tcBorders>
            <w:tcW w:w="702" w:type="dxa"/>
            <w:vAlign w:val="center"/>
            <w:vMerge w:val="continue"/>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numPr>
                <w:ilvl w:val="0"/>
                <w:numId w:val="0"/>
              </w:num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909"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3.</w:t>
            </w:r>
            <w:r>
              <w:rPr>
                <w:rFonts w:hint="eastAsia" w:ascii="宋体" w:hAnsi="宋体" w:eastAsia="宋体" w:cs="宋体"/>
                <w:color w:val="auto"/>
                <w:spacing w:val="2"/>
                <w:sz w:val="21"/>
                <w:szCs w:val="21"/>
                <w:highlight w:val="none"/>
                <w:lang w:val="en-US" w:eastAsia="zh-CN"/>
              </w:rPr>
              <w:t xml:space="preserve">环卫车辆外观积尘严重、抛洒滴漏、车厢外有吊挂垃圾等问题，每次扣1分。</w:t>
            </w:r>
            <w:r/>
          </w:p>
        </w:tc>
        <w:tc>
          <w:tcPr>
            <w:tcBorders>
              <w:top w:val="single" w:color="000000" w:sz="4" w:space="0"/>
              <w:left w:val="single" w:color="000000" w:sz="4" w:space="0"/>
              <w:bottom w:val="single" w:color="000000" w:sz="4" w:space="0"/>
              <w:right w:val="single" w:color="000000" w:sz="4" w:space="0"/>
            </w:tcBorders>
            <w:tcW w:w="2941" w:type="dxa"/>
            <w:vAlign w:val="center"/>
            <w:textDirection w:val="lrTb"/>
            <w:noWrap w:val="false"/>
          </w:tcPr>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395"/>
        </w:trPr>
        <w:tc>
          <w:tcPr>
            <w:tcBorders>
              <w:top w:val="single" w:color="000000" w:sz="4" w:space="0"/>
              <w:left w:val="single" w:color="000000" w:sz="4" w:space="0"/>
              <w:bottom w:val="single" w:color="000000" w:sz="4" w:space="0"/>
              <w:right w:val="single" w:color="000000" w:sz="4" w:space="0"/>
            </w:tcBorders>
            <w:tcW w:w="702" w:type="dxa"/>
            <w:vAlign w:val="center"/>
            <w:vMerge w:val="continue"/>
            <w:textDirection w:val="lrTb"/>
            <w:noWrap w:val="false"/>
          </w:tcPr>
          <w:p>
            <w:pPr>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numPr>
                <w:ilvl w:val="0"/>
                <w:numId w:val="0"/>
              </w:numPr>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8909"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4.</w:t>
            </w:r>
            <w:r>
              <w:rPr>
                <w:rFonts w:hint="eastAsia" w:ascii="宋体" w:hAnsi="宋体" w:eastAsia="宋体" w:cs="宋体"/>
                <w:color w:val="auto"/>
                <w:spacing w:val="2"/>
                <w:sz w:val="21"/>
                <w:szCs w:val="21"/>
                <w:highlight w:val="none"/>
                <w:lang w:val="en-US" w:eastAsia="zh-CN"/>
              </w:rPr>
              <w:t xml:space="preserve">收集结束后，垃圾桶未放回原地并盖好盖，未做到车走地净，每发现一次扣2分。</w:t>
            </w:r>
            <w:r/>
          </w:p>
        </w:tc>
        <w:tc>
          <w:tcPr>
            <w:tcBorders>
              <w:top w:val="single" w:color="000000" w:sz="4" w:space="0"/>
              <w:left w:val="single" w:color="000000" w:sz="4" w:space="0"/>
              <w:bottom w:val="single" w:color="000000" w:sz="4" w:space="0"/>
              <w:right w:val="single" w:color="000000" w:sz="4" w:space="0"/>
            </w:tcBorders>
            <w:tcW w:w="2941" w:type="dxa"/>
            <w:vAlign w:val="center"/>
            <w:textDirection w:val="lrTb"/>
            <w:noWrap w:val="false"/>
          </w:tcPr>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395"/>
        </w:trPr>
        <w:tc>
          <w:tcPr>
            <w:tcBorders>
              <w:top w:val="single" w:color="000000" w:sz="4" w:space="0"/>
              <w:left w:val="single" w:color="000000" w:sz="4" w:space="0"/>
              <w:bottom w:val="single" w:color="000000" w:sz="4" w:space="0"/>
              <w:right w:val="single" w:color="000000" w:sz="4" w:space="0"/>
            </w:tcBorders>
            <w:tcW w:w="702" w:type="dxa"/>
            <w:vAlign w:val="center"/>
            <w:vMerge w:val="continue"/>
            <w:textDirection w:val="lrTb"/>
            <w:noWrap w:val="false"/>
          </w:tcPr>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909"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5.</w:t>
            </w:r>
            <w:r>
              <w:rPr>
                <w:rFonts w:hint="eastAsia" w:ascii="宋体" w:hAnsi="宋体" w:eastAsia="宋体" w:cs="宋体"/>
                <w:color w:val="auto"/>
                <w:spacing w:val="2"/>
                <w:sz w:val="21"/>
                <w:szCs w:val="21"/>
                <w:highlight w:val="none"/>
                <w:lang w:val="en-US" w:eastAsia="zh-CN"/>
              </w:rPr>
              <w:t xml:space="preserve">服从垃圾中转站工作人员的安排，不按垃圾中转站管理要求转运的，每次扣2分。</w:t>
            </w:r>
            <w:r/>
          </w:p>
        </w:tc>
        <w:tc>
          <w:tcPr>
            <w:tcBorders>
              <w:top w:val="single" w:color="000000" w:sz="4" w:space="0"/>
              <w:left w:val="single" w:color="000000" w:sz="4" w:space="0"/>
              <w:bottom w:val="single" w:color="000000" w:sz="4" w:space="0"/>
              <w:right w:val="single" w:color="000000" w:sz="4" w:space="0"/>
            </w:tcBorders>
            <w:tcW w:w="2941" w:type="dxa"/>
            <w:vAlign w:val="center"/>
            <w:textDirection w:val="lrTb"/>
            <w:noWrap w:val="false"/>
          </w:tcPr>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395"/>
        </w:trPr>
        <w:tc>
          <w:tcPr>
            <w:tcBorders>
              <w:top w:val="single" w:color="000000" w:sz="4" w:space="0"/>
              <w:left w:val="single" w:color="000000" w:sz="4" w:space="0"/>
              <w:bottom w:val="single" w:color="000000" w:sz="4" w:space="0"/>
              <w:right w:val="single" w:color="000000" w:sz="4" w:space="0"/>
            </w:tcBorders>
            <w:tcW w:w="702" w:type="dxa"/>
            <w:vAlign w:val="center"/>
            <w:vMerge w:val="continue"/>
            <w:textDirection w:val="lrTb"/>
            <w:noWrap w:val="false"/>
          </w:tcPr>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909"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6.</w:t>
            </w:r>
            <w:r>
              <w:rPr>
                <w:rFonts w:hint="eastAsia" w:ascii="宋体" w:hAnsi="宋体" w:eastAsia="宋体" w:cs="宋体"/>
                <w:color w:val="auto"/>
                <w:spacing w:val="2"/>
                <w:sz w:val="21"/>
                <w:szCs w:val="21"/>
                <w:highlight w:val="none"/>
                <w:lang w:val="en-US" w:eastAsia="zh-CN"/>
              </w:rPr>
              <w:t xml:space="preserve">在工作过程中有打架、骂人等不文明作业行为，每人每次扣2分。</w:t>
            </w:r>
            <w:r/>
          </w:p>
        </w:tc>
        <w:tc>
          <w:tcPr>
            <w:tcBorders>
              <w:top w:val="single" w:color="000000" w:sz="4" w:space="0"/>
              <w:left w:val="single" w:color="000000" w:sz="4" w:space="0"/>
              <w:bottom w:val="single" w:color="000000" w:sz="4" w:space="0"/>
              <w:right w:val="single" w:color="000000" w:sz="4" w:space="0"/>
            </w:tcBorders>
            <w:tcW w:w="2941" w:type="dxa"/>
            <w:vAlign w:val="center"/>
            <w:textDirection w:val="lrTb"/>
            <w:noWrap w:val="false"/>
          </w:tcPr>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344"/>
        </w:trPr>
        <w:tc>
          <w:tcPr>
            <w:tcBorders>
              <w:top w:val="single" w:color="000000" w:sz="4" w:space="0"/>
              <w:left w:val="single" w:color="000000" w:sz="4" w:space="0"/>
              <w:bottom w:val="single" w:color="000000" w:sz="4" w:space="0"/>
              <w:right w:val="single" w:color="000000" w:sz="4" w:space="0"/>
            </w:tcBorders>
            <w:tcW w:w="702" w:type="dxa"/>
            <w:vAlign w:val="center"/>
            <w:vMerge w:val="restart"/>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五</w:t>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安全管理落实</w:t>
            </w:r>
            <w:r/>
          </w:p>
        </w:tc>
        <w:tc>
          <w:tcPr>
            <w:tcBorders>
              <w:top w:val="single" w:color="000000" w:sz="4" w:space="0"/>
              <w:left w:val="single" w:color="000000" w:sz="4" w:space="0"/>
              <w:bottom w:val="single" w:color="000000" w:sz="4" w:space="0"/>
              <w:right w:val="single" w:color="000000" w:sz="4" w:space="0"/>
            </w:tcBorders>
            <w:tcW w:w="8909"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1.</w:t>
            </w:r>
            <w:r>
              <w:rPr>
                <w:rFonts w:hint="eastAsia" w:ascii="宋体" w:hAnsi="宋体" w:eastAsia="宋体" w:cs="宋体"/>
                <w:color w:val="auto"/>
                <w:spacing w:val="2"/>
                <w:sz w:val="21"/>
                <w:szCs w:val="21"/>
                <w:highlight w:val="none"/>
                <w:lang w:val="en-US" w:eastAsia="zh-CN"/>
              </w:rPr>
              <w:t xml:space="preserve">保洁员工作时间未穿反光工作服的，每人次扣2分。</w:t>
            </w:r>
            <w:r/>
          </w:p>
        </w:tc>
        <w:tc>
          <w:tcPr>
            <w:tcBorders>
              <w:top w:val="single" w:color="000000" w:sz="4" w:space="0"/>
              <w:left w:val="single" w:color="000000" w:sz="4" w:space="0"/>
              <w:bottom w:val="single" w:color="000000" w:sz="4" w:space="0"/>
              <w:right w:val="single" w:color="000000" w:sz="4" w:space="0"/>
            </w:tcBorders>
            <w:tcW w:w="2941" w:type="dxa"/>
            <w:vAlign w:val="center"/>
            <w:textDirection w:val="lrTb"/>
            <w:noWrap w:val="false"/>
          </w:tcPr>
          <w:p>
            <w:pPr>
              <w:numPr>
                <w:ilvl w:val="0"/>
                <w:numId w:val="0"/>
              </w:num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344"/>
        </w:trPr>
        <w:tc>
          <w:tcPr>
            <w:tcBorders>
              <w:top w:val="single" w:color="000000" w:sz="4" w:space="0"/>
              <w:left w:val="single" w:color="000000" w:sz="4" w:space="0"/>
              <w:bottom w:val="single" w:color="000000" w:sz="4" w:space="0"/>
              <w:right w:val="single" w:color="000000" w:sz="4" w:space="0"/>
            </w:tcBorders>
            <w:tcW w:w="702"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909"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2.</w:t>
            </w:r>
            <w:r>
              <w:rPr>
                <w:rFonts w:hint="eastAsia" w:ascii="宋体" w:hAnsi="宋体" w:eastAsia="宋体" w:cs="宋体"/>
                <w:color w:val="auto"/>
                <w:spacing w:val="2"/>
                <w:sz w:val="21"/>
                <w:szCs w:val="21"/>
                <w:highlight w:val="none"/>
                <w:lang w:val="en-US" w:eastAsia="zh-CN"/>
              </w:rPr>
              <w:t xml:space="preserve">上岗时聚集（3人及以上）聊天的，每起扣2分。</w:t>
            </w:r>
            <w:r/>
          </w:p>
        </w:tc>
        <w:tc>
          <w:tcPr>
            <w:tcBorders>
              <w:top w:val="single" w:color="000000" w:sz="4" w:space="0"/>
              <w:left w:val="single" w:color="000000" w:sz="4" w:space="0"/>
              <w:bottom w:val="single" w:color="000000" w:sz="4" w:space="0"/>
              <w:right w:val="single" w:color="000000" w:sz="4" w:space="0"/>
            </w:tcBorders>
            <w:tcW w:w="2941"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344"/>
        </w:trPr>
        <w:tc>
          <w:tcPr>
            <w:tcBorders>
              <w:top w:val="single" w:color="000000" w:sz="4" w:space="0"/>
              <w:left w:val="single" w:color="000000" w:sz="4" w:space="0"/>
              <w:bottom w:val="single" w:color="000000" w:sz="4" w:space="0"/>
              <w:right w:val="single" w:color="000000" w:sz="4" w:space="0"/>
            </w:tcBorders>
            <w:tcW w:w="702" w:type="dxa"/>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909"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3.</w:t>
            </w:r>
            <w:r>
              <w:rPr>
                <w:rFonts w:hint="eastAsia" w:ascii="宋体" w:hAnsi="宋体" w:eastAsia="宋体" w:cs="宋体"/>
                <w:color w:val="auto"/>
                <w:spacing w:val="2"/>
                <w:sz w:val="21"/>
                <w:szCs w:val="21"/>
                <w:highlight w:val="none"/>
                <w:lang w:val="en-US" w:eastAsia="zh-CN"/>
              </w:rPr>
              <w:t xml:space="preserve">保洁车、垃圾清运车未在车辆前部、后部、两侧设置反光标识的，每车次扣2分。</w:t>
            </w:r>
            <w:r/>
          </w:p>
        </w:tc>
        <w:tc>
          <w:tcPr>
            <w:tcBorders>
              <w:top w:val="single" w:color="000000" w:sz="4" w:space="0"/>
              <w:left w:val="single" w:color="000000" w:sz="4" w:space="0"/>
              <w:bottom w:val="single" w:color="000000" w:sz="4" w:space="0"/>
              <w:right w:val="single" w:color="000000" w:sz="4" w:space="0"/>
            </w:tcBorders>
            <w:tcW w:w="2941"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344"/>
        </w:trPr>
        <w:tc>
          <w:tcPr>
            <w:tcBorders>
              <w:top w:val="single" w:color="000000" w:sz="4" w:space="0"/>
              <w:left w:val="single" w:color="000000" w:sz="4" w:space="0"/>
              <w:bottom w:val="single" w:color="000000" w:sz="4" w:space="0"/>
              <w:right w:val="single" w:color="000000" w:sz="4" w:space="0"/>
            </w:tcBorders>
            <w:tcW w:w="702" w:type="dxa"/>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909"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4.</w:t>
            </w:r>
            <w:r>
              <w:rPr>
                <w:rFonts w:hint="eastAsia" w:ascii="宋体" w:hAnsi="宋体" w:eastAsia="宋体" w:cs="宋体"/>
                <w:color w:val="auto"/>
                <w:spacing w:val="2"/>
                <w:sz w:val="21"/>
                <w:szCs w:val="21"/>
                <w:highlight w:val="none"/>
                <w:lang w:val="en-US" w:eastAsia="zh-CN"/>
              </w:rPr>
              <w:t xml:space="preserve">在非作业时段，保洁车辆不可随意停放在道路沿线，每发现一次扣2分。</w:t>
            </w:r>
            <w:r/>
          </w:p>
        </w:tc>
        <w:tc>
          <w:tcPr>
            <w:tcBorders>
              <w:top w:val="single" w:color="000000" w:sz="4" w:space="0"/>
              <w:left w:val="single" w:color="000000" w:sz="4" w:space="0"/>
              <w:bottom w:val="single" w:color="000000" w:sz="4" w:space="0"/>
              <w:right w:val="single" w:color="000000" w:sz="4" w:space="0"/>
            </w:tcBorders>
            <w:tcW w:w="2941"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344"/>
        </w:trPr>
        <w:tc>
          <w:tcPr>
            <w:tcBorders>
              <w:top w:val="single" w:color="000000" w:sz="4" w:space="0"/>
              <w:left w:val="single" w:color="000000" w:sz="4" w:space="0"/>
              <w:bottom w:val="single" w:color="000000" w:sz="4" w:space="0"/>
              <w:right w:val="single" w:color="000000" w:sz="4" w:space="0"/>
            </w:tcBorders>
            <w:tcW w:w="702" w:type="dxa"/>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909"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5.</w:t>
            </w:r>
            <w:r>
              <w:rPr>
                <w:rFonts w:hint="eastAsia" w:ascii="宋体" w:hAnsi="宋体" w:eastAsia="宋体" w:cs="宋体"/>
                <w:color w:val="auto"/>
                <w:spacing w:val="2"/>
                <w:sz w:val="21"/>
                <w:szCs w:val="21"/>
                <w:highlight w:val="none"/>
                <w:lang w:val="en-US" w:eastAsia="zh-CN"/>
              </w:rPr>
              <w:t xml:space="preserve">清除大片污染时，组织不周密或交通安全防护措施不落实的，每发现1次扣2分。</w:t>
            </w:r>
            <w:r/>
          </w:p>
        </w:tc>
        <w:tc>
          <w:tcPr>
            <w:tcBorders>
              <w:top w:val="single" w:color="000000" w:sz="4" w:space="0"/>
              <w:left w:val="single" w:color="000000" w:sz="4" w:space="0"/>
              <w:bottom w:val="single" w:color="000000" w:sz="4" w:space="0"/>
              <w:right w:val="single" w:color="000000" w:sz="4" w:space="0"/>
            </w:tcBorders>
            <w:tcW w:w="2941"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654"/>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六</w:t>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bidi="ar"/>
              </w:rPr>
              <w:t xml:space="preserve">其它工作</w:t>
            </w:r>
            <w:r>
              <w:rPr>
                <w:rFonts w:hint="eastAsia" w:ascii="宋体" w:hAnsi="宋体" w:eastAsia="宋体" w:cs="宋体"/>
                <w:color w:val="auto"/>
                <w:sz w:val="21"/>
                <w:szCs w:val="21"/>
                <w:highlight w:val="none"/>
                <w:lang w:bidi="ar"/>
              </w:rPr>
              <w:t xml:space="preserve">要求</w:t>
            </w:r>
            <w:r/>
          </w:p>
        </w:tc>
        <w:tc>
          <w:tcPr>
            <w:tcBorders>
              <w:top w:val="single" w:color="000000" w:sz="4" w:space="0"/>
              <w:left w:val="single" w:color="000000" w:sz="4" w:space="0"/>
              <w:bottom w:val="single" w:color="000000" w:sz="4" w:space="0"/>
              <w:right w:val="single" w:color="000000" w:sz="4" w:space="0"/>
            </w:tcBorders>
            <w:tcW w:w="8909" w:type="dxa"/>
            <w:vAlign w:val="center"/>
            <w:textDirection w:val="lrTb"/>
            <w:noWrap w:val="false"/>
          </w:tcPr>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1.</w:t>
            </w:r>
            <w:r>
              <w:rPr>
                <w:rFonts w:hint="eastAsia" w:ascii="宋体" w:hAnsi="宋体" w:eastAsia="宋体" w:cs="宋体"/>
                <w:color w:val="auto"/>
                <w:spacing w:val="2"/>
                <w:sz w:val="21"/>
                <w:szCs w:val="21"/>
                <w:highlight w:val="none"/>
                <w:lang w:val="en-US" w:eastAsia="zh-CN"/>
              </w:rPr>
              <w:t xml:space="preserve">在文明城市创建、迎接检查等活动时不能做好突击保洁工作，日常督查中不服从安排的，每次酌情扣2分至10分。</w:t>
            </w:r>
            <w:r/>
          </w:p>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2.</w:t>
            </w:r>
            <w:r>
              <w:rPr>
                <w:rFonts w:hint="eastAsia" w:ascii="宋体" w:hAnsi="宋体" w:eastAsia="宋体" w:cs="宋体"/>
                <w:color w:val="auto"/>
                <w:spacing w:val="2"/>
                <w:sz w:val="21"/>
                <w:szCs w:val="21"/>
                <w:highlight w:val="none"/>
                <w:lang w:val="en-US" w:eastAsia="zh-CN"/>
              </w:rPr>
              <w:t xml:space="preserve">12345、书记（市长）信箱等各类投诉，处理不及时</w:t>
            </w:r>
            <w:r>
              <w:rPr>
                <w:rFonts w:hint="eastAsia" w:ascii="宋体" w:hAnsi="宋体" w:cs="宋体"/>
                <w:color w:val="auto"/>
                <w:spacing w:val="2"/>
                <w:sz w:val="21"/>
                <w:szCs w:val="21"/>
                <w:highlight w:val="none"/>
                <w:lang w:val="en-US" w:eastAsia="zh-CN"/>
              </w:rPr>
              <w:t xml:space="preserve">，</w:t>
            </w:r>
            <w:r>
              <w:rPr>
                <w:rFonts w:hint="eastAsia" w:ascii="宋体" w:hAnsi="宋体" w:eastAsia="宋体" w:cs="宋体"/>
                <w:color w:val="auto"/>
                <w:spacing w:val="2"/>
                <w:sz w:val="21"/>
                <w:szCs w:val="21"/>
                <w:highlight w:val="none"/>
                <w:lang w:val="en-US" w:eastAsia="zh-CN"/>
              </w:rPr>
              <w:t xml:space="preserve">每例扣5分。</w:t>
            </w:r>
            <w:r/>
          </w:p>
          <w:p>
            <w:pPr>
              <w:jc w:val="left"/>
              <w:widowControl/>
              <w:rPr>
                <w:rFonts w:hint="eastAsia"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3.</w:t>
            </w:r>
            <w:r>
              <w:rPr>
                <w:rFonts w:hint="eastAsia" w:ascii="宋体" w:hAnsi="宋体" w:eastAsia="宋体" w:cs="宋体"/>
                <w:color w:val="auto"/>
                <w:spacing w:val="2"/>
                <w:sz w:val="21"/>
                <w:szCs w:val="21"/>
                <w:highlight w:val="none"/>
                <w:lang w:val="en-US" w:eastAsia="zh-CN"/>
              </w:rPr>
              <w:t xml:space="preserve">有新闻单位曝光，上级部门考核通报，市民投诉等问题，经查实，每例扣5分。</w:t>
            </w:r>
            <w:r/>
          </w:p>
        </w:tc>
        <w:tc>
          <w:tcPr>
            <w:tcBorders>
              <w:top w:val="single" w:color="000000" w:sz="4" w:space="0"/>
              <w:left w:val="single" w:color="000000" w:sz="4" w:space="0"/>
              <w:bottom w:val="single" w:color="000000" w:sz="4" w:space="0"/>
              <w:right w:val="single" w:color="000000" w:sz="4" w:space="0"/>
            </w:tcBorders>
            <w:tcW w:w="2941" w:type="dxa"/>
            <w:vAlign w:val="center"/>
            <w:textDirection w:val="lrTb"/>
            <w:noWrap w:val="false"/>
          </w:tcPr>
          <w:p>
            <w:pPr>
              <w:ind w:firstLine="420"/>
              <w:jc w:val="left"/>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r>
            <w:r/>
          </w:p>
        </w:tc>
      </w:tr>
    </w:tbl>
    <w:p>
      <w:pPr>
        <w:pStyle w:val="868"/>
        <w:jc w:val="both"/>
        <w:keepLines w:val="0"/>
        <w:keepNext w:val="0"/>
        <w:pageBreakBefore w:val="0"/>
        <w:spacing w:line="520" w:lineRule="exact"/>
        <w:widowControl w:val="off"/>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val="en-US" w:eastAsia="zh-CN"/>
        </w:rPr>
        <w:t xml:space="preserve">注：满分100分，</w:t>
      </w:r>
      <w:r>
        <w:rPr>
          <w:rFonts w:hint="eastAsia" w:ascii="宋体" w:hAnsi="宋体" w:eastAsia="宋体" w:cs="宋体"/>
          <w:bCs/>
          <w:color w:val="auto"/>
          <w:sz w:val="21"/>
          <w:szCs w:val="21"/>
          <w:highlight w:val="none"/>
          <w:lang w:eastAsia="zh-CN"/>
        </w:rPr>
        <w:t xml:space="preserve">得分</w:t>
      </w:r>
      <w:r>
        <w:rPr>
          <w:rFonts w:hint="eastAsia" w:ascii="宋体" w:hAnsi="宋体" w:eastAsia="宋体" w:cs="宋体"/>
          <w:bCs/>
          <w:color w:val="auto"/>
          <w:sz w:val="21"/>
          <w:szCs w:val="21"/>
          <w:highlight w:val="none"/>
          <w:lang w:val="en-US" w:eastAsia="zh-CN"/>
        </w:rPr>
        <w:t xml:space="preserve">90分（含）以上为合格</w:t>
      </w:r>
      <w:r>
        <w:rPr>
          <w:rFonts w:hint="eastAsia" w:ascii="宋体" w:hAnsi="宋体" w:eastAsia="宋体" w:cs="宋体"/>
          <w:bCs/>
          <w:color w:val="auto"/>
          <w:sz w:val="21"/>
          <w:szCs w:val="21"/>
          <w:highlight w:val="none"/>
          <w:lang w:eastAsia="zh-CN"/>
        </w:rPr>
        <w:t xml:space="preserve">。</w:t>
      </w:r>
      <w:r/>
    </w:p>
    <w:p>
      <w:pPr>
        <w:pStyle w:val="868"/>
        <w:jc w:val="center"/>
        <w:keepLines w:val="0"/>
        <w:keepNext w:val="0"/>
        <w:pageBreakBefore w:val="0"/>
        <w:spacing w:line="520" w:lineRule="exact"/>
        <w:widowControl w:val="off"/>
        <w:rPr>
          <w:rFonts w:hint="eastAsia" w:ascii="宋体" w:hAnsi="宋体" w:eastAsia="宋体" w:cs="宋体"/>
          <w:color w:val="auto"/>
          <w:sz w:val="21"/>
          <w:szCs w:val="21"/>
          <w:highlight w:val="none"/>
        </w:rPr>
        <w:sectPr>
          <w:footnotePr/>
          <w:endnotePr/>
          <w:type w:val="nextPage"/>
          <w:pgSz w:w="16838" w:h="11906" w:orient="landscape"/>
          <w:pgMar w:top="1803" w:right="1440" w:bottom="1803" w:left="1440" w:header="851" w:footer="992" w:gutter="0"/>
          <w:cols w:num="1" w:sep="0" w:space="0" w:equalWidth="1"/>
          <w:docGrid w:linePitch="360"/>
        </w:sectPr>
        <w:outlineLvl w:val="9"/>
      </w:pPr>
      <w:r>
        <w:rPr>
          <w:rFonts w:hint="eastAsia" w:ascii="宋体" w:hAnsi="宋体" w:eastAsia="宋体" w:cs="宋体"/>
          <w:color w:val="auto"/>
          <w:sz w:val="21"/>
          <w:szCs w:val="21"/>
          <w:highlight w:val="none"/>
        </w:rPr>
        <w:br w:type="page" w:clear="all"/>
      </w:r>
      <w:r/>
    </w:p>
    <w:p>
      <w:pPr>
        <w:pStyle w:val="868"/>
        <w:jc w:val="center"/>
        <w:keepLines w:val="0"/>
        <w:keepNext w:val="0"/>
        <w:pageBreakBefore w:val="0"/>
        <w:spacing w:line="520" w:lineRule="exact"/>
        <w:widowControl w:val="off"/>
        <w:rPr>
          <w:rFonts w:hint="eastAsia" w:ascii="宋体" w:hAnsi="宋体" w:eastAsia="宋体" w:cs="宋体"/>
          <w:color w:val="auto"/>
          <w:sz w:val="32"/>
          <w:szCs w:val="32"/>
          <w:highlight w:val="none"/>
        </w:rPr>
        <w:outlineLvl w:val="9"/>
      </w:pPr>
      <w:r>
        <w:rPr>
          <w:rFonts w:hint="eastAsia" w:ascii="黑体" w:hAnsi="黑体" w:eastAsia="黑体" w:cs="黑体"/>
          <w:color w:val="auto"/>
          <w:sz w:val="32"/>
          <w:szCs w:val="32"/>
          <w:highlight w:val="none"/>
        </w:rPr>
        <w:t xml:space="preserve">第五章  评审方法和评审标准</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本次采购采用百分制综合评分法，即磋商供应</w:t>
      </w:r>
      <w:r>
        <w:rPr>
          <w:rFonts w:hint="eastAsia" w:ascii="宋体" w:hAnsi="宋体" w:cs="宋体"/>
          <w:color w:val="auto"/>
          <w:highlight w:val="none"/>
          <w:lang w:eastAsia="zh-CN"/>
        </w:rPr>
        <w:t xml:space="preserve">商在</w:t>
      </w:r>
      <w:r>
        <w:rPr>
          <w:rFonts w:hint="eastAsia" w:ascii="宋体" w:hAnsi="宋体" w:eastAsia="宋体" w:cs="宋体"/>
          <w:color w:val="auto"/>
          <w:highlight w:val="none"/>
        </w:rPr>
        <w:t xml:space="preserve">最大限度地满足磋商文件实质性要求的基础上，按照采购文件的各项因素进行综合评审后，总分设定为100分。磋商小组遵循公平、公正、择优原则，独立按照评分标准分别评定供应商的分值；各磋商供应商的最终得分为各评委所评定分值的平均值，并按从高到低顺序排列，评审得分相同的，按照最后报价由低到高的顺序推荐；</w:t>
      </w:r>
      <w:r>
        <w:rPr>
          <w:rFonts w:hint="eastAsia" w:ascii="宋体" w:hAnsi="宋体" w:eastAsia="宋体" w:cs="宋体"/>
          <w:b/>
          <w:bCs/>
          <w:color w:val="auto"/>
          <w:highlight w:val="none"/>
        </w:rPr>
        <w:t xml:space="preserve">评审得分且最后报价相同的，按照技术指标优劣顺序推荐；技术指标得分仍相同的，通过抽签方式确定排序。</w:t>
      </w:r>
      <w:r>
        <w:rPr>
          <w:rFonts w:hint="eastAsia" w:ascii="宋体" w:hAnsi="宋体" w:eastAsia="宋体" w:cs="宋体"/>
          <w:color w:val="auto"/>
          <w:highlight w:val="none"/>
        </w:rPr>
        <w:t xml:space="preserve">因磋商供应商自身原因，在磋商期间，不能及时、完整、有效提供相关原件以供磋商小组查询，由此导致不利于响应文件的磋商后果由磋商供应商承担。</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价格扣除：本项目为专门面向中小微企业，不享受价格扣除政策。</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评分细则详见下表：</w:t>
      </w:r>
      <w:r/>
    </w:p>
    <w:tbl>
      <w:tblPr>
        <w:tblStyle w:val="695"/>
        <w:tblW w:w="83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2"/>
        <w:gridCol w:w="850"/>
        <w:gridCol w:w="837"/>
        <w:gridCol w:w="6034"/>
      </w:tblGrid>
      <w:tr>
        <w:trPr>
          <w:jc w:val="center"/>
          <w:trHeight w:val="702"/>
        </w:trPr>
        <w:tc>
          <w:tcPr>
            <w:tcW w:w="622" w:type="dxa"/>
            <w:vAlign w:val="center"/>
            <w:textDirection w:val="lrTb"/>
            <w:noWrap w:val="false"/>
          </w:tcPr>
          <w:p>
            <w:pPr>
              <w:jc w:val="center"/>
              <w:spacing w:line="24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W w:w="850" w:type="dxa"/>
            <w:vAlign w:val="center"/>
            <w:textDirection w:val="lrTb"/>
            <w:noWrap w:val="false"/>
          </w:tcPr>
          <w:p>
            <w:pPr>
              <w:jc w:val="center"/>
              <w:spacing w:line="24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评分</w:t>
            </w:r>
            <w:r/>
          </w:p>
          <w:p>
            <w:pPr>
              <w:jc w:val="center"/>
              <w:spacing w:line="24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因素</w:t>
            </w:r>
            <w:r/>
          </w:p>
        </w:tc>
        <w:tc>
          <w:tcPr>
            <w:tcW w:w="837" w:type="dxa"/>
            <w:vAlign w:val="center"/>
            <w:textDirection w:val="lrTb"/>
            <w:noWrap w:val="false"/>
          </w:tcPr>
          <w:p>
            <w:pPr>
              <w:jc w:val="center"/>
              <w:spacing w:line="24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分值</w:t>
            </w:r>
            <w:r/>
          </w:p>
        </w:tc>
        <w:tc>
          <w:tcPr>
            <w:tcW w:w="6034" w:type="dxa"/>
            <w:vAlign w:val="center"/>
            <w:textDirection w:val="lrTb"/>
            <w:noWrap w:val="false"/>
          </w:tcPr>
          <w:p>
            <w:pPr>
              <w:ind w:firstLine="480"/>
              <w:jc w:val="center"/>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评分内容</w:t>
            </w:r>
            <w:r/>
          </w:p>
        </w:tc>
      </w:tr>
      <w:tr>
        <w:trPr>
          <w:jc w:val="center"/>
          <w:trHeight w:val="454"/>
        </w:trPr>
        <w:tc>
          <w:tcPr>
            <w:gridSpan w:val="4"/>
            <w:tcW w:w="8343" w:type="dxa"/>
            <w:vAlign w:val="center"/>
            <w:textDirection w:val="lrTb"/>
            <w:noWrap w:val="false"/>
          </w:tcPr>
          <w:p>
            <w:pPr>
              <w:jc w:val="center"/>
              <w:spacing w:line="400" w:lineRule="exact"/>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一、报价评审（</w:t>
            </w:r>
            <w:r>
              <w:rPr>
                <w:rFonts w:hint="eastAsia" w:ascii="宋体" w:hAnsi="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分）</w:t>
            </w:r>
            <w:r/>
          </w:p>
        </w:tc>
      </w:tr>
      <w:tr>
        <w:trPr>
          <w:jc w:val="center"/>
          <w:trHeight w:val="1010"/>
        </w:trPr>
        <w:tc>
          <w:tcPr>
            <w:tcW w:w="622" w:type="dxa"/>
            <w:vAlign w:val="center"/>
            <w:textDirection w:val="lrTb"/>
            <w:noWrap w:val="false"/>
          </w:tcPr>
          <w:p>
            <w:pPr>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W w:w="850" w:type="dxa"/>
            <w:vAlign w:val="center"/>
            <w:textDirection w:val="lrTb"/>
            <w:noWrap w:val="false"/>
          </w:tcPr>
          <w:p>
            <w:pPr>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价格分</w:t>
            </w:r>
            <w:r/>
          </w:p>
        </w:tc>
        <w:tc>
          <w:tcPr>
            <w:tcW w:w="837" w:type="dxa"/>
            <w:vAlign w:val="center"/>
            <w:textDirection w:val="lrTb"/>
            <w:noWrap w:val="false"/>
          </w:tcPr>
          <w:p>
            <w:pPr>
              <w:jc w:val="center"/>
              <w:spacing w:line="24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分</w:t>
            </w:r>
            <w:r/>
          </w:p>
        </w:tc>
        <w:tc>
          <w:tcPr>
            <w:tcW w:w="6034" w:type="dxa"/>
            <w:vAlign w:val="center"/>
            <w:textDirection w:val="lrTb"/>
            <w:noWrap w:val="false"/>
          </w:tcPr>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满足磋商文件要求且最后报价最低的供应商的价格为磋商基准价，其价格分为满分</w:t>
            </w:r>
            <w:r>
              <w:rPr>
                <w:rFonts w:hint="eastAsia" w:ascii="宋体" w:hAnsi="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分。其他供应商的价格分统一按照下列公式计算：磋商报价得分＝（磋商基准价/最后磋商报价）×</w:t>
            </w:r>
            <w:r>
              <w:rPr>
                <w:rFonts w:hint="eastAsia" w:ascii="宋体" w:hAnsi="宋体" w:cs="宋体"/>
                <w:color w:val="auto"/>
                <w:szCs w:val="21"/>
                <w:highlight w:val="none"/>
                <w:lang w:val="en-US" w:eastAsia="zh-CN"/>
              </w:rPr>
              <w:t xml:space="preserve">15</w:t>
            </w:r>
            <w:r>
              <w:rPr>
                <w:rFonts w:hint="eastAsia" w:ascii="宋体" w:hAnsi="宋体" w:eastAsia="宋体" w:cs="宋体"/>
                <w:color w:val="auto"/>
                <w:szCs w:val="21"/>
                <w:highlight w:val="none"/>
              </w:rPr>
              <w:t xml:space="preserve">分（保留两位小数，四舍五入）。</w:t>
            </w:r>
            <w:r/>
          </w:p>
        </w:tc>
      </w:tr>
      <w:tr>
        <w:trPr>
          <w:jc w:val="center"/>
          <w:trHeight w:val="477"/>
        </w:trPr>
        <w:tc>
          <w:tcPr>
            <w:gridSpan w:val="4"/>
            <w:tcW w:w="8343" w:type="dxa"/>
            <w:vAlign w:val="center"/>
            <w:textDirection w:val="lrTb"/>
            <w:noWrap w:val="false"/>
          </w:tcPr>
          <w:p>
            <w:pPr>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二、商务评审（</w:t>
            </w:r>
            <w:r>
              <w:rPr>
                <w:rFonts w:hint="eastAsia" w:ascii="宋体" w:hAnsi="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Cs w:val="21"/>
                <w:highlight w:val="none"/>
              </w:rPr>
              <w:t xml:space="preserve">）</w:t>
            </w:r>
            <w:r/>
          </w:p>
        </w:tc>
      </w:tr>
      <w:tr>
        <w:trPr>
          <w:jc w:val="center"/>
          <w:trHeight w:val="477"/>
        </w:trPr>
        <w:tc>
          <w:tcPr>
            <w:tcW w:w="622" w:type="dxa"/>
            <w:vAlign w:val="center"/>
            <w:textDirection w:val="lrTb"/>
            <w:noWrap w:val="false"/>
          </w:tcPr>
          <w:p>
            <w:pPr>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2.1</w:t>
            </w:r>
            <w:r/>
          </w:p>
        </w:tc>
        <w:tc>
          <w:tcPr>
            <w:tcW w:w="850" w:type="dxa"/>
            <w:vAlign w:val="center"/>
            <w:textDirection w:val="lrTb"/>
            <w:noWrap w:val="false"/>
          </w:tcPr>
          <w:p>
            <w:pPr>
              <w:jc w:val="center"/>
              <w:spacing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1"/>
                <w:szCs w:val="21"/>
                <w:highlight w:val="none"/>
                <w:lang w:val="en-US" w:eastAsia="zh-CN"/>
              </w:rPr>
              <w:t xml:space="preserve">资信</w:t>
            </w:r>
            <w:r/>
          </w:p>
        </w:tc>
        <w:tc>
          <w:tcPr>
            <w:shd w:val="clear" w:color="auto" w:fill="auto"/>
            <w:tcW w:w="83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rPr>
              <w:t xml:space="preserve">6分</w:t>
            </w:r>
            <w:r/>
          </w:p>
        </w:tc>
        <w:tc>
          <w:tcPr>
            <w:shd w:val="clear" w:color="auto" w:fill="auto"/>
            <w:tcW w:w="6034" w:type="dxa"/>
            <w:vAlign w:val="center"/>
            <w:textDirection w:val="lrTb"/>
            <w:noWrap w:val="false"/>
          </w:tcPr>
          <w:p>
            <w:pPr>
              <w:numPr>
                <w:ilvl w:val="0"/>
                <w:numId w:val="0"/>
              </w:numPr>
              <w:keepLines w:val="0"/>
              <w:keepNext w:val="0"/>
              <w:pageBreakBefore w:val="0"/>
              <w:spacing w:line="400" w:lineRule="exact"/>
              <w:widowControl w:val="off"/>
              <w:rPr>
                <w:rStyle w:val="909"/>
                <w:rFonts w:hint="eastAsia" w:ascii="宋体" w:hAnsi="宋体" w:eastAsia="宋体" w:cs="宋体"/>
                <w:color w:val="auto"/>
                <w:szCs w:val="21"/>
                <w:highlight w:val="none"/>
                <w:lang w:val="en-US" w:eastAsia="zh-CN"/>
              </w:rPr>
            </w:pPr>
            <w:r>
              <w:rPr>
                <w:rStyle w:val="909"/>
                <w:rFonts w:hint="eastAsia" w:ascii="宋体" w:hAnsi="宋体" w:eastAsia="宋体" w:cs="宋体"/>
                <w:color w:val="auto"/>
                <w:szCs w:val="21"/>
                <w:highlight w:val="none"/>
                <w:lang w:val="en-US" w:eastAsia="zh-CN"/>
              </w:rPr>
              <w:t xml:space="preserve">供应商提供自2023年1月1日以来获得人民政府或行政主管部门颁发的与环卫作业项目相关的奖项或表彰荣誉的，有一个得2分，本项最高得6分。</w:t>
            </w:r>
            <w:r/>
          </w:p>
          <w:p>
            <w:pPr>
              <w:keepLines w:val="0"/>
              <w:keepNext w:val="0"/>
              <w:pageBreakBefore w:val="0"/>
              <w:spacing w:line="400" w:lineRule="exact"/>
              <w:widowControl w:val="off"/>
              <w:rPr>
                <w:rFonts w:hint="eastAsia"/>
                <w:color w:val="auto"/>
                <w:highlight w:val="none"/>
                <w:lang w:val="en-US" w:eastAsia="zh-CN"/>
              </w:rPr>
            </w:pPr>
            <w:r>
              <w:rPr>
                <w:rFonts w:hint="eastAsia" w:ascii="宋体" w:hAnsi="宋体" w:eastAsia="宋体" w:cs="宋体"/>
                <w:b/>
                <w:bCs/>
                <w:color w:val="auto"/>
                <w:sz w:val="22"/>
                <w:szCs w:val="22"/>
                <w:highlight w:val="none"/>
                <w:lang w:val="en-US" w:eastAsia="zh-CN"/>
              </w:rPr>
              <w:t xml:space="preserve">注：不含协会颁发的，提供获奖（荣誉）证书或政府表彰的红头文件等证明材料扫描件加盖公章上传作为得分依据。提供的材料须能体现供应商名称，如无法体现，须另附颁奖单位的相关证明材料，未提供或提供不全的不得分。</w:t>
            </w:r>
            <w:r/>
          </w:p>
        </w:tc>
      </w:tr>
      <w:tr>
        <w:trPr>
          <w:jc w:val="center"/>
          <w:trHeight w:val="477"/>
        </w:trPr>
        <w:tc>
          <w:tcPr>
            <w:tcW w:w="622" w:type="dxa"/>
            <w:vAlign w:val="center"/>
            <w:textDirection w:val="lrTb"/>
            <w:noWrap w:val="false"/>
          </w:tcPr>
          <w:p>
            <w:pPr>
              <w:jc w:val="center"/>
              <w:spacing w:line="24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2.2</w:t>
            </w:r>
            <w:r/>
          </w:p>
        </w:tc>
        <w:tc>
          <w:tcPr>
            <w:tcW w:w="850" w:type="dxa"/>
            <w:vAlign w:val="center"/>
            <w:textDirection w:val="lrTb"/>
            <w:noWrap w:val="false"/>
          </w:tcPr>
          <w:p>
            <w:pPr>
              <w:jc w:val="center"/>
              <w:spacing w:line="240" w:lineRule="auto"/>
              <w:shd w:val="clear" w:color="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类似</w:t>
            </w:r>
            <w:r/>
          </w:p>
          <w:p>
            <w:pPr>
              <w:jc w:val="center"/>
              <w:spacing w:line="240" w:lineRule="auto"/>
              <w:shd w:val="clear" w:color="auto"/>
              <w:rPr>
                <w:rFonts w:hint="eastAsia" w:ascii="宋体" w:hAnsi="宋体" w:eastAsia="宋体" w:cs="宋体"/>
                <w:color w:val="auto"/>
                <w:szCs w:val="21"/>
                <w:highlight w:val="none"/>
              </w:rPr>
            </w:pPr>
            <w:r>
              <w:rPr>
                <w:rFonts w:hint="eastAsia" w:ascii="宋体" w:hAnsi="宋体" w:eastAsia="宋体" w:cs="宋体"/>
                <w:bCs/>
                <w:color w:val="auto"/>
                <w:sz w:val="22"/>
                <w:szCs w:val="22"/>
                <w:highlight w:val="none"/>
                <w:lang w:val="en-US" w:eastAsia="zh-CN"/>
              </w:rPr>
              <w:t xml:space="preserve">业绩</w:t>
            </w:r>
            <w:r/>
          </w:p>
        </w:tc>
        <w:tc>
          <w:tcPr>
            <w:tcW w:w="837" w:type="dxa"/>
            <w:vAlign w:val="center"/>
            <w:textDirection w:val="lrTb"/>
            <w:noWrap w:val="false"/>
          </w:tcPr>
          <w:p>
            <w:pPr>
              <w:jc w:val="center"/>
              <w:spacing w:line="240" w:lineRule="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eastAsia="宋体" w:cs="宋体"/>
                <w:color w:val="auto"/>
                <w:szCs w:val="21"/>
                <w:highlight w:val="none"/>
              </w:rPr>
              <w:t xml:space="preserve">分</w:t>
            </w:r>
            <w:r/>
          </w:p>
        </w:tc>
        <w:tc>
          <w:tcPr>
            <w:tcW w:w="6034" w:type="dxa"/>
            <w:vAlign w:val="center"/>
            <w:textDirection w:val="lrTb"/>
            <w:noWrap w:val="false"/>
          </w:tcPr>
          <w:p>
            <w:pPr>
              <w:numPr>
                <w:ilvl w:val="0"/>
                <w:numId w:val="0"/>
              </w:numPr>
              <w:keepLines w:val="0"/>
              <w:keepNext w:val="0"/>
              <w:pageBreakBefore w:val="0"/>
              <w:spacing w:line="400" w:lineRule="exact"/>
              <w:widowControl w:val="off"/>
              <w:rPr>
                <w:rStyle w:val="909"/>
                <w:rFonts w:hint="eastAsia" w:ascii="宋体" w:hAnsi="宋体" w:eastAsia="宋体" w:cs="宋体"/>
                <w:color w:val="auto"/>
                <w:szCs w:val="21"/>
                <w:highlight w:val="none"/>
              </w:rPr>
            </w:pPr>
            <w:r>
              <w:rPr>
                <w:rStyle w:val="909"/>
                <w:rFonts w:hint="eastAsia" w:ascii="宋体" w:hAnsi="宋体" w:eastAsia="宋体" w:cs="宋体"/>
                <w:color w:val="auto"/>
                <w:szCs w:val="21"/>
                <w:highlight w:val="none"/>
              </w:rPr>
              <w:t xml:space="preserve">供应商提供自202</w:t>
            </w:r>
            <w:r>
              <w:rPr>
                <w:rStyle w:val="909"/>
                <w:rFonts w:hint="eastAsia" w:ascii="宋体" w:hAnsi="宋体" w:eastAsia="宋体" w:cs="宋体"/>
                <w:color w:val="auto"/>
                <w:szCs w:val="21"/>
                <w:highlight w:val="none"/>
                <w:lang w:val="en-US" w:eastAsia="zh-CN"/>
              </w:rPr>
              <w:t xml:space="preserve">3</w:t>
            </w:r>
            <w:r>
              <w:rPr>
                <w:rStyle w:val="909"/>
                <w:rFonts w:hint="eastAsia" w:ascii="宋体" w:hAnsi="宋体" w:eastAsia="宋体" w:cs="宋体"/>
                <w:color w:val="auto"/>
                <w:szCs w:val="21"/>
                <w:highlight w:val="none"/>
              </w:rPr>
              <w:t xml:space="preserve">年1月1日以来（以签订日期为准）承担</w:t>
            </w:r>
            <w:r>
              <w:rPr>
                <w:rStyle w:val="909"/>
                <w:rFonts w:hint="eastAsia" w:ascii="宋体" w:hAnsi="宋体" w:eastAsia="宋体" w:cs="宋体"/>
                <w:color w:val="auto"/>
                <w:szCs w:val="21"/>
                <w:highlight w:val="none"/>
                <w:lang w:val="en-US" w:eastAsia="zh-CN"/>
              </w:rPr>
              <w:t xml:space="preserve">过</w:t>
            </w:r>
            <w:r>
              <w:rPr>
                <w:rStyle w:val="909"/>
                <w:rFonts w:hint="eastAsia" w:ascii="宋体" w:hAnsi="宋体" w:eastAsia="宋体" w:cs="宋体"/>
                <w:color w:val="auto"/>
                <w:szCs w:val="21"/>
                <w:highlight w:val="none"/>
              </w:rPr>
              <w:t xml:space="preserve">城区</w:t>
            </w:r>
            <w:r>
              <w:rPr>
                <w:rStyle w:val="909"/>
                <w:rFonts w:hint="eastAsia" w:ascii="宋体" w:hAnsi="宋体" w:eastAsia="宋体" w:cs="宋体"/>
                <w:color w:val="auto"/>
                <w:szCs w:val="21"/>
                <w:highlight w:val="none"/>
                <w:lang w:val="en-US" w:eastAsia="zh-CN"/>
              </w:rPr>
              <w:t xml:space="preserve">或</w:t>
            </w:r>
            <w:r>
              <w:rPr>
                <w:rStyle w:val="909"/>
                <w:rFonts w:hint="eastAsia" w:ascii="宋体" w:hAnsi="宋体" w:eastAsia="宋体" w:cs="宋体"/>
                <w:color w:val="auto"/>
                <w:szCs w:val="21"/>
                <w:highlight w:val="none"/>
              </w:rPr>
              <w:t xml:space="preserve">街道或乡镇的环卫作业服务业绩（服务范围</w:t>
            </w:r>
            <w:r>
              <w:rPr>
                <w:rStyle w:val="909"/>
                <w:rFonts w:hint="eastAsia" w:ascii="宋体" w:hAnsi="宋体" w:eastAsia="宋体" w:cs="宋体"/>
                <w:color w:val="auto"/>
                <w:szCs w:val="21"/>
                <w:highlight w:val="none"/>
                <w:lang w:val="en-US" w:eastAsia="zh-CN"/>
              </w:rPr>
              <w:t xml:space="preserve">须同时</w:t>
            </w:r>
            <w:r>
              <w:rPr>
                <w:rStyle w:val="909"/>
                <w:rFonts w:hint="eastAsia" w:ascii="宋体" w:hAnsi="宋体" w:eastAsia="宋体" w:cs="宋体"/>
                <w:color w:val="auto"/>
                <w:szCs w:val="21"/>
                <w:highlight w:val="none"/>
              </w:rPr>
              <w:t xml:space="preserve">包含道路保洁</w:t>
            </w:r>
            <w:r>
              <w:rPr>
                <w:rStyle w:val="909"/>
                <w:rFonts w:hint="eastAsia" w:ascii="宋体" w:hAnsi="宋体" w:eastAsia="宋体" w:cs="宋体"/>
                <w:color w:val="auto"/>
                <w:szCs w:val="21"/>
                <w:highlight w:val="none"/>
                <w:lang w:val="en-US" w:eastAsia="zh-CN"/>
              </w:rPr>
              <w:t xml:space="preserve">和</w:t>
            </w:r>
            <w:r>
              <w:rPr>
                <w:rStyle w:val="909"/>
                <w:rFonts w:hint="eastAsia" w:ascii="宋体" w:hAnsi="宋体" w:eastAsia="宋体" w:cs="宋体"/>
                <w:color w:val="auto"/>
                <w:szCs w:val="21"/>
                <w:highlight w:val="none"/>
              </w:rPr>
              <w:t xml:space="preserve">垃圾清运</w:t>
            </w:r>
            <w:r>
              <w:rPr>
                <w:rStyle w:val="909"/>
                <w:rFonts w:hint="eastAsia" w:ascii="宋体" w:hAnsi="宋体" w:eastAsia="宋体" w:cs="宋体"/>
                <w:color w:val="auto"/>
                <w:szCs w:val="21"/>
                <w:highlight w:val="none"/>
                <w:lang w:eastAsia="zh-CN"/>
              </w:rPr>
              <w:t xml:space="preserve">，</w:t>
            </w:r>
            <w:r>
              <w:rPr>
                <w:rStyle w:val="909"/>
                <w:rFonts w:hint="eastAsia" w:ascii="宋体" w:hAnsi="宋体" w:eastAsia="宋体" w:cs="宋体"/>
                <w:color w:val="auto"/>
                <w:szCs w:val="21"/>
                <w:highlight w:val="none"/>
                <w:lang w:val="en-US" w:eastAsia="zh-CN"/>
              </w:rPr>
              <w:t xml:space="preserve">否则不予认可</w:t>
            </w:r>
            <w:r>
              <w:rPr>
                <w:rStyle w:val="909"/>
                <w:rFonts w:hint="eastAsia" w:ascii="宋体" w:hAnsi="宋体" w:eastAsia="宋体" w:cs="宋体"/>
                <w:color w:val="auto"/>
                <w:szCs w:val="21"/>
                <w:highlight w:val="none"/>
              </w:rPr>
              <w:t xml:space="preserve">），每提供1个得</w:t>
            </w:r>
            <w:r>
              <w:rPr>
                <w:rStyle w:val="909"/>
                <w:rFonts w:hint="eastAsia" w:ascii="宋体" w:hAnsi="宋体" w:cs="宋体"/>
                <w:color w:val="auto"/>
                <w:szCs w:val="21"/>
                <w:highlight w:val="none"/>
                <w:lang w:val="en-US" w:eastAsia="zh-CN"/>
              </w:rPr>
              <w:t xml:space="preserve">3</w:t>
            </w:r>
            <w:r>
              <w:rPr>
                <w:rStyle w:val="909"/>
                <w:rFonts w:hint="eastAsia" w:ascii="宋体" w:hAnsi="宋体" w:eastAsia="宋体" w:cs="宋体"/>
                <w:color w:val="auto"/>
                <w:szCs w:val="21"/>
                <w:highlight w:val="none"/>
              </w:rPr>
              <w:t xml:space="preserve">分，最高得</w:t>
            </w:r>
            <w:r>
              <w:rPr>
                <w:rStyle w:val="909"/>
                <w:rFonts w:hint="eastAsia" w:ascii="宋体" w:hAnsi="宋体" w:cs="宋体"/>
                <w:color w:val="auto"/>
                <w:szCs w:val="21"/>
                <w:highlight w:val="none"/>
                <w:lang w:val="en-US" w:eastAsia="zh-CN"/>
              </w:rPr>
              <w:t xml:space="preserve">9</w:t>
            </w:r>
            <w:r>
              <w:rPr>
                <w:rStyle w:val="909"/>
                <w:rFonts w:hint="eastAsia" w:ascii="宋体" w:hAnsi="宋体" w:eastAsia="宋体" w:cs="宋体"/>
                <w:color w:val="auto"/>
                <w:szCs w:val="21"/>
                <w:highlight w:val="none"/>
              </w:rPr>
              <w:t xml:space="preserve">分。</w:t>
            </w:r>
            <w:r/>
          </w:p>
          <w:p>
            <w:pPr>
              <w:keepLines w:val="0"/>
              <w:keepNext w:val="0"/>
              <w:pageBreakBefore w:val="0"/>
              <w:spacing w:line="400" w:lineRule="exact"/>
              <w:widowControl w:val="off"/>
              <w:rPr>
                <w:rFonts w:hint="eastAsia" w:ascii="宋体" w:hAnsi="宋体" w:eastAsia="宋体" w:cs="宋体"/>
                <w:b/>
                <w:color w:val="auto"/>
                <w:szCs w:val="21"/>
                <w:highlight w:val="none"/>
              </w:rPr>
            </w:pPr>
            <w:r>
              <w:rPr>
                <w:rFonts w:hint="eastAsia" w:ascii="宋体" w:hAnsi="宋体" w:eastAsia="宋体" w:cs="宋体"/>
                <w:b/>
                <w:bCs/>
                <w:color w:val="auto"/>
                <w:sz w:val="22"/>
                <w:szCs w:val="22"/>
                <w:highlight w:val="none"/>
                <w:lang w:val="en-US" w:eastAsia="zh-CN"/>
              </w:rPr>
              <w:t xml:space="preserve">注：</w:t>
            </w:r>
            <w:r>
              <w:rPr>
                <w:rStyle w:val="909"/>
                <w:rFonts w:hint="eastAsia" w:ascii="宋体" w:hAnsi="宋体" w:eastAsia="宋体" w:cs="宋体"/>
                <w:b/>
                <w:bCs/>
                <w:color w:val="auto"/>
                <w:szCs w:val="21"/>
                <w:highlight w:val="none"/>
              </w:rPr>
              <w:t xml:space="preserve">提供服务合同</w:t>
            </w:r>
            <w:r>
              <w:rPr>
                <w:rStyle w:val="909"/>
                <w:rFonts w:hint="eastAsia" w:ascii="宋体" w:hAnsi="宋体" w:eastAsia="宋体" w:cs="宋体"/>
                <w:b/>
                <w:bCs/>
                <w:color w:val="auto"/>
                <w:szCs w:val="21"/>
                <w:highlight w:val="none"/>
                <w:lang w:val="en-US" w:eastAsia="zh-CN"/>
              </w:rPr>
              <w:t xml:space="preserve">原件</w:t>
            </w:r>
            <w:r>
              <w:rPr>
                <w:rStyle w:val="909"/>
                <w:rFonts w:hint="eastAsia" w:ascii="宋体" w:hAnsi="宋体" w:eastAsia="宋体" w:cs="宋体"/>
                <w:b/>
                <w:bCs/>
                <w:color w:val="auto"/>
                <w:szCs w:val="21"/>
                <w:highlight w:val="none"/>
              </w:rPr>
              <w:t xml:space="preserve">扫描件</w:t>
            </w:r>
            <w:r>
              <w:rPr>
                <w:rFonts w:hint="eastAsia" w:ascii="宋体" w:hAnsi="宋体" w:cs="宋体"/>
                <w:b/>
                <w:bCs/>
                <w:color w:val="auto"/>
                <w:sz w:val="22"/>
                <w:szCs w:val="22"/>
                <w:highlight w:val="none"/>
                <w:lang w:val="en-US" w:eastAsia="zh-CN"/>
              </w:rPr>
              <w:t xml:space="preserve">及对应合同任意1次</w:t>
            </w:r>
            <w:r>
              <w:rPr>
                <w:rFonts w:hint="eastAsia" w:ascii="Times New Roman" w:hAnsi="Times New Roman" w:eastAsia="宋体" w:cs="Times New Roman"/>
                <w:b/>
                <w:bCs/>
                <w:color w:val="auto"/>
                <w:highlight w:val="none"/>
                <w:lang w:val="en-US" w:eastAsia="zh-CN"/>
              </w:rPr>
              <w:t xml:space="preserve">合同款付款</w:t>
            </w:r>
            <w:r>
              <w:rPr>
                <w:rFonts w:hint="eastAsia" w:ascii="宋体" w:hAnsi="宋体" w:cs="宋体"/>
                <w:b/>
                <w:bCs/>
                <w:color w:val="auto"/>
                <w:sz w:val="22"/>
                <w:szCs w:val="22"/>
                <w:highlight w:val="none"/>
                <w:lang w:val="en-US" w:eastAsia="zh-CN"/>
              </w:rPr>
              <w:t xml:space="preserve">发票（或</w:t>
            </w:r>
            <w:r>
              <w:rPr>
                <w:rFonts w:hint="eastAsia" w:ascii="Times New Roman" w:hAnsi="Times New Roman" w:eastAsia="宋体" w:cs="Times New Roman"/>
                <w:b/>
                <w:bCs/>
                <w:color w:val="auto"/>
                <w:highlight w:val="none"/>
                <w:lang w:val="en-US" w:eastAsia="zh-CN"/>
              </w:rPr>
              <w:t xml:space="preserve">银行流水证明）</w:t>
            </w:r>
            <w:r>
              <w:rPr>
                <w:rFonts w:hint="eastAsia" w:ascii="宋体" w:hAnsi="宋体" w:cs="宋体"/>
                <w:b/>
                <w:bCs/>
                <w:color w:val="auto"/>
                <w:sz w:val="22"/>
                <w:szCs w:val="22"/>
                <w:highlight w:val="none"/>
                <w:lang w:val="en-US" w:eastAsia="zh-CN"/>
              </w:rPr>
              <w:t xml:space="preserve">扫描件加盖公章</w:t>
            </w:r>
            <w:r>
              <w:rPr>
                <w:rFonts w:hint="eastAsia" w:ascii="宋体" w:hAnsi="宋体" w:eastAsia="宋体" w:cs="宋体"/>
                <w:b/>
                <w:bCs/>
                <w:color w:val="auto"/>
                <w:sz w:val="22"/>
                <w:szCs w:val="22"/>
                <w:highlight w:val="none"/>
                <w:lang w:val="en-US" w:eastAsia="zh-CN"/>
              </w:rPr>
              <w:t xml:space="preserve">上传作为得分依据</w:t>
            </w:r>
            <w:r>
              <w:rPr>
                <w:rStyle w:val="909"/>
                <w:rFonts w:hint="eastAsia" w:ascii="宋体" w:hAnsi="宋体" w:eastAsia="宋体" w:cs="宋体"/>
                <w:b/>
                <w:bCs/>
                <w:color w:val="auto"/>
                <w:szCs w:val="21"/>
                <w:highlight w:val="none"/>
              </w:rPr>
              <w:t xml:space="preserve">，如提供的合同、发票、银行流水证明不能体现服务内容须提供合同甲方出具的证明材料，未提供或提供不全不得分，同一项目不同年度不累计得分。</w:t>
            </w:r>
            <w:r/>
          </w:p>
        </w:tc>
      </w:tr>
      <w:tr>
        <w:trPr>
          <w:jc w:val="center"/>
          <w:trHeight w:val="2305"/>
        </w:trPr>
        <w:tc>
          <w:tcPr>
            <w:tcW w:w="622" w:type="dxa"/>
            <w:vAlign w:val="center"/>
            <w:textDirection w:val="lrTb"/>
            <w:noWrap w:val="false"/>
          </w:tcPr>
          <w:p>
            <w:pPr>
              <w:jc w:val="center"/>
              <w:spacing w:line="24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2.3</w:t>
            </w:r>
            <w:r/>
          </w:p>
        </w:tc>
        <w:tc>
          <w:tcPr>
            <w:tcW w:w="850" w:type="dxa"/>
            <w:vAlign w:val="center"/>
            <w:textDirection w:val="lrTb"/>
            <w:noWrap w:val="false"/>
          </w:tcPr>
          <w:p>
            <w:pPr>
              <w:jc w:val="center"/>
              <w:spacing w:line="240" w:lineRule="auto"/>
              <w:shd w:val="clear" w:color="auto"/>
              <w:rPr>
                <w:rFonts w:hint="eastAsia" w:ascii="宋体" w:hAnsi="宋体" w:eastAsia="宋体" w:cs="宋体"/>
                <w:bCs/>
                <w:color w:val="auto"/>
                <w:sz w:val="22"/>
                <w:szCs w:val="22"/>
                <w:highlight w:val="none"/>
                <w:lang w:val="en-US" w:eastAsia="zh-CN"/>
              </w:rPr>
            </w:pPr>
            <w:r>
              <w:rPr>
                <w:rFonts w:hint="eastAsia" w:ascii="宋体" w:hAnsi="宋体" w:cs="宋体"/>
                <w:bCs/>
                <w:color w:val="auto"/>
                <w:sz w:val="22"/>
                <w:szCs w:val="22"/>
                <w:highlight w:val="none"/>
                <w:lang w:val="en-US" w:eastAsia="zh-CN"/>
              </w:rPr>
              <w:t xml:space="preserve">机械设备投入</w:t>
            </w:r>
            <w:r/>
          </w:p>
        </w:tc>
        <w:tc>
          <w:tcPr>
            <w:tcW w:w="837" w:type="dxa"/>
            <w:vAlign w:val="center"/>
            <w:textDirection w:val="lrTb"/>
            <w:noWrap w:val="false"/>
          </w:tcPr>
          <w:p>
            <w:pPr>
              <w:jc w:val="center"/>
              <w:spacing w:line="24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10分</w:t>
            </w:r>
            <w:r/>
          </w:p>
        </w:tc>
        <w:tc>
          <w:tcPr>
            <w:tcW w:w="6034" w:type="dxa"/>
            <w:vAlign w:val="center"/>
            <w:textDirection w:val="lrTb"/>
            <w:noWrap w:val="false"/>
          </w:tcPr>
          <w:p>
            <w:pPr>
              <w:keepLines w:val="0"/>
              <w:keepNext w:val="0"/>
              <w:pageBreakBefore w:val="0"/>
              <w:spacing w:line="400" w:lineRule="exac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1.具有清扫车或洗扫车或扫地车1辆得2分，最高得2分；</w:t>
            </w:r>
            <w:r/>
          </w:p>
          <w:p>
            <w:pPr>
              <w:keepLines w:val="0"/>
              <w:keepNext w:val="0"/>
              <w:pageBreakBefore w:val="0"/>
              <w:spacing w:line="400" w:lineRule="exac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2.具有洒水车1辆得2分，最高得2分；</w:t>
            </w:r>
            <w:r/>
          </w:p>
          <w:p>
            <w:pPr>
              <w:keepLines w:val="0"/>
              <w:keepNext w:val="0"/>
              <w:pageBreakBefore w:val="0"/>
              <w:spacing w:line="400" w:lineRule="exac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3.具有垃圾压缩车1辆得2分，最高得2分；</w:t>
            </w:r>
            <w:r/>
          </w:p>
          <w:p>
            <w:pPr>
              <w:keepLines w:val="0"/>
              <w:keepNext w:val="0"/>
              <w:pageBreakBefore w:val="0"/>
              <w:spacing w:line="400" w:lineRule="exac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4.具有高压冲洗车1辆得2分，最高得2分；</w:t>
            </w:r>
            <w:r/>
          </w:p>
          <w:p>
            <w:pPr>
              <w:keepLines w:val="0"/>
              <w:keepNext w:val="0"/>
              <w:pageBreakBefore w:val="0"/>
              <w:spacing w:line="400" w:lineRule="exact"/>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5.具有垃圾清运车（吊桶车）1辆得1分，最高得2分。</w:t>
            </w:r>
            <w:r/>
          </w:p>
          <w:p>
            <w:pPr>
              <w:keepLines w:val="0"/>
              <w:keepNext w:val="0"/>
              <w:pageBreakBefore w:val="0"/>
              <w:spacing w:line="400" w:lineRule="exact"/>
              <w:widowControl w:val="off"/>
              <w:rPr>
                <w:rStyle w:val="909"/>
                <w:rFonts w:hint="eastAsia" w:ascii="宋体" w:hAnsi="宋体" w:cs="宋体"/>
                <w:b/>
                <w:bCs/>
                <w:color w:val="auto"/>
                <w:szCs w:val="21"/>
                <w:highlight w:val="none"/>
                <w:lang w:eastAsia="zh-CN"/>
              </w:rPr>
            </w:pPr>
            <w:r>
              <w:rPr>
                <w:rStyle w:val="909"/>
                <w:rFonts w:hint="eastAsia" w:ascii="宋体" w:hAnsi="宋体" w:eastAsia="宋体" w:cs="宋体"/>
                <w:b/>
                <w:bCs/>
                <w:color w:val="auto"/>
                <w:szCs w:val="21"/>
                <w:highlight w:val="none"/>
              </w:rPr>
              <w:t xml:space="preserve">注：</w:t>
            </w:r>
            <w:r>
              <w:rPr>
                <w:rStyle w:val="909"/>
                <w:rFonts w:hint="eastAsia" w:ascii="宋体" w:hAnsi="宋体" w:eastAsia="宋体" w:cs="宋体"/>
                <w:b/>
                <w:bCs/>
                <w:color w:val="auto"/>
                <w:szCs w:val="21"/>
                <w:highlight w:val="none"/>
                <w:lang w:eastAsia="zh-CN"/>
              </w:rPr>
              <w:t xml:space="preserve">（</w:t>
            </w:r>
            <w:r>
              <w:rPr>
                <w:rStyle w:val="909"/>
                <w:rFonts w:hint="eastAsia" w:ascii="宋体" w:hAnsi="宋体" w:eastAsia="宋体" w:cs="宋体"/>
                <w:b/>
                <w:bCs/>
                <w:color w:val="auto"/>
                <w:szCs w:val="21"/>
                <w:highlight w:val="none"/>
                <w:lang w:val="en-US" w:eastAsia="zh-CN"/>
              </w:rPr>
              <w:t xml:space="preserve">1</w:t>
            </w:r>
            <w:r>
              <w:rPr>
                <w:rStyle w:val="909"/>
                <w:rFonts w:hint="eastAsia" w:ascii="宋体" w:hAnsi="宋体" w:eastAsia="宋体" w:cs="宋体"/>
                <w:b/>
                <w:bCs/>
                <w:color w:val="auto"/>
                <w:szCs w:val="21"/>
                <w:highlight w:val="none"/>
                <w:lang w:eastAsia="zh-CN"/>
              </w:rPr>
              <w:t xml:space="preserve">）</w:t>
            </w:r>
            <w:r>
              <w:rPr>
                <w:rStyle w:val="909"/>
                <w:rFonts w:hint="eastAsia" w:ascii="宋体" w:hAnsi="宋体" w:eastAsia="宋体" w:cs="宋体"/>
                <w:b/>
                <w:bCs/>
                <w:color w:val="auto"/>
                <w:szCs w:val="21"/>
                <w:highlight w:val="none"/>
              </w:rPr>
              <w:t xml:space="preserve">以上</w:t>
            </w:r>
            <w:r>
              <w:rPr>
                <w:rStyle w:val="909"/>
                <w:rFonts w:hint="eastAsia" w:ascii="宋体" w:hAnsi="宋体" w:eastAsia="宋体" w:cs="宋体"/>
                <w:b/>
                <w:bCs/>
                <w:color w:val="auto"/>
                <w:szCs w:val="21"/>
                <w:highlight w:val="none"/>
                <w:lang w:val="en-US" w:eastAsia="zh-CN"/>
              </w:rPr>
              <w:t xml:space="preserve">序号1至3的</w:t>
            </w:r>
            <w:r>
              <w:rPr>
                <w:rStyle w:val="909"/>
                <w:rFonts w:hint="eastAsia" w:ascii="宋体" w:hAnsi="宋体" w:eastAsia="宋体" w:cs="宋体"/>
                <w:b/>
                <w:bCs/>
                <w:color w:val="auto"/>
                <w:szCs w:val="21"/>
                <w:highlight w:val="none"/>
              </w:rPr>
              <w:t xml:space="preserve">车辆均需为年检合格车辆，</w:t>
            </w:r>
            <w:r>
              <w:rPr>
                <w:rStyle w:val="909"/>
                <w:rFonts w:hint="eastAsia" w:ascii="宋体" w:hAnsi="宋体" w:eastAsia="宋体" w:cs="宋体"/>
                <w:b/>
                <w:bCs/>
                <w:color w:val="auto"/>
                <w:szCs w:val="21"/>
                <w:highlight w:val="none"/>
                <w:lang w:eastAsia="zh-CN"/>
              </w:rPr>
              <w:t xml:space="preserve">投标时自有车辆需同时提供车辆购置发票和</w:t>
            </w:r>
            <w:r>
              <w:rPr>
                <w:rStyle w:val="909"/>
                <w:rFonts w:hint="eastAsia" w:ascii="宋体" w:hAnsi="宋体" w:cs="宋体"/>
                <w:b/>
                <w:bCs/>
                <w:color w:val="auto"/>
                <w:szCs w:val="21"/>
                <w:highlight w:val="none"/>
                <w:lang w:val="en-US" w:eastAsia="zh-CN"/>
              </w:rPr>
              <w:t xml:space="preserve">[</w:t>
            </w:r>
            <w:r>
              <w:rPr>
                <w:rStyle w:val="909"/>
                <w:rFonts w:hint="eastAsia" w:ascii="宋体" w:hAnsi="宋体" w:eastAsia="宋体" w:cs="宋体"/>
                <w:b/>
                <w:bCs/>
                <w:color w:val="auto"/>
                <w:szCs w:val="21"/>
                <w:highlight w:val="none"/>
                <w:lang w:eastAsia="zh-CN"/>
              </w:rPr>
              <w:t xml:space="preserve">机动车辆登记证书或行驶证</w:t>
            </w:r>
            <w:r>
              <w:rPr>
                <w:rStyle w:val="909"/>
                <w:rFonts w:hint="eastAsia" w:ascii="宋体" w:hAnsi="宋体" w:cs="宋体"/>
                <w:b/>
                <w:bCs/>
                <w:color w:val="auto"/>
                <w:szCs w:val="21"/>
                <w:highlight w:val="none"/>
                <w:lang w:val="en-US" w:eastAsia="zh-CN"/>
              </w:rPr>
              <w:t xml:space="preserve">]</w:t>
            </w:r>
            <w:r>
              <w:rPr>
                <w:rStyle w:val="909"/>
                <w:rFonts w:hint="eastAsia" w:ascii="宋体" w:hAnsi="宋体" w:eastAsia="宋体" w:cs="宋体"/>
                <w:b/>
                <w:bCs/>
                <w:color w:val="auto"/>
                <w:szCs w:val="21"/>
                <w:highlight w:val="none"/>
                <w:lang w:eastAsia="zh-CN"/>
              </w:rPr>
              <w:t xml:space="preserve">等有效证明扫描件并加盖公章</w:t>
            </w:r>
            <w:r>
              <w:rPr>
                <w:rStyle w:val="909"/>
                <w:rFonts w:hint="eastAsia" w:ascii="宋体" w:hAnsi="宋体" w:cs="宋体"/>
                <w:b/>
                <w:bCs/>
                <w:color w:val="auto"/>
                <w:szCs w:val="21"/>
                <w:highlight w:val="none"/>
                <w:lang w:eastAsia="zh-CN"/>
              </w:rPr>
              <w:t xml:space="preserve">；</w:t>
            </w:r>
            <w:r>
              <w:rPr>
                <w:rStyle w:val="909"/>
                <w:rFonts w:hint="eastAsia" w:ascii="宋体" w:hAnsi="宋体" w:eastAsia="宋体" w:cs="宋体"/>
                <w:b/>
                <w:bCs/>
                <w:color w:val="auto"/>
                <w:szCs w:val="21"/>
                <w:highlight w:val="none"/>
                <w:lang w:eastAsia="zh-CN"/>
              </w:rPr>
              <w:t xml:space="preserve">提供车辆为租赁，提供租赁协议</w:t>
            </w:r>
            <w:r>
              <w:rPr>
                <w:rStyle w:val="909"/>
                <w:rFonts w:hint="eastAsia" w:ascii="宋体" w:hAnsi="宋体" w:eastAsia="宋体" w:cs="宋体"/>
                <w:b/>
                <w:bCs/>
                <w:color w:val="auto"/>
                <w:szCs w:val="21"/>
                <w:highlight w:val="none"/>
                <w:lang w:val="en-US" w:eastAsia="zh-CN"/>
              </w:rPr>
              <w:t xml:space="preserve">（租赁期限应覆盖本项目服务截止</w:t>
            </w:r>
            <w:r>
              <w:rPr>
                <w:rStyle w:val="909"/>
                <w:rFonts w:hint="eastAsia" w:ascii="宋体" w:hAnsi="宋体" w:cs="宋体"/>
                <w:b/>
                <w:bCs/>
                <w:color w:val="auto"/>
                <w:szCs w:val="21"/>
                <w:highlight w:val="none"/>
                <w:lang w:val="en-US" w:eastAsia="zh-CN"/>
              </w:rPr>
              <w:t xml:space="preserve">的年度月份</w:t>
            </w:r>
            <w:r>
              <w:rPr>
                <w:rStyle w:val="909"/>
                <w:rFonts w:hint="eastAsia" w:ascii="宋体" w:hAnsi="宋体" w:eastAsia="宋体" w:cs="宋体"/>
                <w:b/>
                <w:bCs/>
                <w:color w:val="auto"/>
                <w:szCs w:val="21"/>
                <w:highlight w:val="none"/>
                <w:lang w:val="en-US" w:eastAsia="zh-CN"/>
              </w:rPr>
              <w:t xml:space="preserve">）</w:t>
            </w:r>
            <w:r>
              <w:rPr>
                <w:rStyle w:val="909"/>
                <w:rFonts w:hint="eastAsia" w:ascii="宋体" w:hAnsi="宋体" w:eastAsia="宋体" w:cs="宋体"/>
                <w:b/>
                <w:bCs/>
                <w:color w:val="auto"/>
                <w:szCs w:val="21"/>
                <w:highlight w:val="none"/>
                <w:lang w:eastAsia="zh-CN"/>
              </w:rPr>
              <w:t xml:space="preserve">和车辆购置发票</w:t>
            </w:r>
            <w:r>
              <w:rPr>
                <w:rStyle w:val="909"/>
                <w:rFonts w:hint="eastAsia" w:ascii="宋体" w:hAnsi="宋体" w:cs="宋体"/>
                <w:b/>
                <w:bCs/>
                <w:color w:val="auto"/>
                <w:szCs w:val="21"/>
                <w:highlight w:val="none"/>
                <w:lang w:val="en-US" w:eastAsia="zh-CN"/>
              </w:rPr>
              <w:t xml:space="preserve">和[</w:t>
            </w:r>
            <w:r>
              <w:rPr>
                <w:rStyle w:val="909"/>
                <w:rFonts w:hint="eastAsia" w:ascii="宋体" w:hAnsi="宋体" w:eastAsia="宋体" w:cs="宋体"/>
                <w:b/>
                <w:bCs/>
                <w:color w:val="auto"/>
                <w:szCs w:val="21"/>
                <w:highlight w:val="none"/>
                <w:lang w:eastAsia="zh-CN"/>
              </w:rPr>
              <w:t xml:space="preserve">机动车辆登记证书或行驶证</w:t>
            </w:r>
            <w:r>
              <w:rPr>
                <w:rStyle w:val="909"/>
                <w:rFonts w:hint="eastAsia" w:ascii="宋体" w:hAnsi="宋体" w:cs="宋体"/>
                <w:b/>
                <w:bCs/>
                <w:color w:val="auto"/>
                <w:szCs w:val="21"/>
                <w:highlight w:val="none"/>
                <w:lang w:val="en-US" w:eastAsia="zh-CN"/>
              </w:rPr>
              <w:t xml:space="preserve">]</w:t>
            </w:r>
            <w:r>
              <w:rPr>
                <w:rStyle w:val="909"/>
                <w:rFonts w:hint="eastAsia" w:ascii="宋体" w:hAnsi="宋体" w:eastAsia="宋体" w:cs="宋体"/>
                <w:b/>
                <w:bCs/>
                <w:color w:val="auto"/>
                <w:szCs w:val="21"/>
                <w:highlight w:val="none"/>
                <w:lang w:eastAsia="zh-CN"/>
              </w:rPr>
              <w:t xml:space="preserve">等有效证明扫描件并加盖公章</w:t>
            </w:r>
            <w:r>
              <w:rPr>
                <w:rStyle w:val="909"/>
                <w:rFonts w:hint="eastAsia" w:ascii="宋体" w:hAnsi="宋体" w:cs="宋体"/>
                <w:b/>
                <w:bCs/>
                <w:color w:val="auto"/>
                <w:szCs w:val="21"/>
                <w:highlight w:val="none"/>
                <w:lang w:eastAsia="zh-CN"/>
              </w:rPr>
              <w:t xml:space="preserve">；</w:t>
            </w:r>
            <w:r/>
          </w:p>
          <w:p>
            <w:pPr>
              <w:keepLines w:val="0"/>
              <w:keepNext w:val="0"/>
              <w:pageBreakBefore w:val="0"/>
              <w:spacing w:line="400" w:lineRule="exact"/>
              <w:widowControl w:val="off"/>
              <w:rPr>
                <w:rStyle w:val="909"/>
                <w:rFonts w:hint="eastAsia" w:ascii="宋体" w:hAnsi="宋体" w:eastAsia="宋体" w:cs="宋体"/>
                <w:b/>
                <w:bCs/>
                <w:color w:val="auto"/>
                <w:szCs w:val="21"/>
                <w:highlight w:val="none"/>
                <w:lang w:eastAsia="zh-CN"/>
              </w:rPr>
            </w:pPr>
            <w:r>
              <w:rPr>
                <w:rStyle w:val="909"/>
                <w:rFonts w:hint="eastAsia" w:ascii="宋体" w:hAnsi="宋体" w:cs="宋体"/>
                <w:b/>
                <w:bCs/>
                <w:color w:val="auto"/>
                <w:szCs w:val="21"/>
                <w:highlight w:val="none"/>
                <w:lang w:val="en-US" w:eastAsia="zh-CN"/>
              </w:rPr>
              <w:t xml:space="preserve">（2）</w:t>
            </w:r>
            <w:r>
              <w:rPr>
                <w:rStyle w:val="909"/>
                <w:rFonts w:hint="eastAsia" w:ascii="宋体" w:hAnsi="宋体" w:eastAsia="宋体" w:cs="宋体"/>
                <w:b/>
                <w:bCs/>
                <w:color w:val="auto"/>
                <w:szCs w:val="21"/>
                <w:highlight w:val="none"/>
                <w:lang w:val="en-US" w:eastAsia="zh-CN"/>
              </w:rPr>
              <w:t xml:space="preserve">以上序号4至5的</w:t>
            </w:r>
            <w:r>
              <w:rPr>
                <w:rStyle w:val="909"/>
                <w:rFonts w:hint="eastAsia" w:ascii="宋体" w:hAnsi="宋体" w:cs="宋体"/>
                <w:b/>
                <w:bCs/>
                <w:color w:val="auto"/>
                <w:szCs w:val="21"/>
                <w:highlight w:val="none"/>
                <w:lang w:val="en-US" w:eastAsia="zh-CN"/>
              </w:rPr>
              <w:t xml:space="preserve">车辆，</w:t>
            </w:r>
            <w:r>
              <w:rPr>
                <w:rStyle w:val="909"/>
                <w:rFonts w:hint="eastAsia" w:ascii="宋体" w:hAnsi="宋体" w:eastAsia="宋体" w:cs="宋体"/>
                <w:b/>
                <w:bCs/>
                <w:color w:val="auto"/>
                <w:szCs w:val="21"/>
                <w:highlight w:val="none"/>
                <w:lang w:eastAsia="zh-CN"/>
              </w:rPr>
              <w:t xml:space="preserve">投标时</w:t>
            </w:r>
            <w:r>
              <w:rPr>
                <w:rStyle w:val="909"/>
                <w:rFonts w:hint="eastAsia" w:ascii="宋体" w:hAnsi="宋体" w:cs="宋体"/>
                <w:b/>
                <w:bCs/>
                <w:color w:val="auto"/>
                <w:szCs w:val="21"/>
                <w:highlight w:val="none"/>
                <w:lang w:eastAsia="zh-CN"/>
              </w:rPr>
              <w:t xml:space="preserve">自有车辆</w:t>
            </w:r>
            <w:r>
              <w:rPr>
                <w:rStyle w:val="909"/>
                <w:rFonts w:hint="eastAsia" w:ascii="宋体" w:hAnsi="宋体" w:eastAsia="宋体" w:cs="宋体"/>
                <w:b/>
                <w:bCs/>
                <w:color w:val="auto"/>
                <w:szCs w:val="21"/>
                <w:highlight w:val="none"/>
                <w:lang w:eastAsia="zh-CN"/>
              </w:rPr>
              <w:t xml:space="preserve">需提供车辆购置发票等有效证明扫描件并加盖公章；提供车辆为租赁，提供租赁协议</w:t>
            </w:r>
            <w:r>
              <w:rPr>
                <w:rStyle w:val="909"/>
                <w:rFonts w:hint="eastAsia" w:ascii="宋体" w:hAnsi="宋体" w:eastAsia="宋体" w:cs="宋体"/>
                <w:b/>
                <w:bCs/>
                <w:color w:val="auto"/>
                <w:szCs w:val="21"/>
                <w:highlight w:val="none"/>
                <w:lang w:val="en-US" w:eastAsia="zh-CN"/>
              </w:rPr>
              <w:t xml:space="preserve">（租赁期限应覆盖本项目服务截止</w:t>
            </w:r>
            <w:r>
              <w:rPr>
                <w:rStyle w:val="909"/>
                <w:rFonts w:hint="eastAsia" w:ascii="宋体" w:hAnsi="宋体" w:cs="宋体"/>
                <w:b/>
                <w:bCs/>
                <w:color w:val="auto"/>
                <w:szCs w:val="21"/>
                <w:highlight w:val="none"/>
                <w:lang w:val="en-US" w:eastAsia="zh-CN"/>
              </w:rPr>
              <w:t xml:space="preserve">的年度月份</w:t>
            </w:r>
            <w:r>
              <w:rPr>
                <w:rStyle w:val="909"/>
                <w:rFonts w:hint="eastAsia" w:ascii="宋体" w:hAnsi="宋体" w:eastAsia="宋体" w:cs="宋体"/>
                <w:b/>
                <w:bCs/>
                <w:color w:val="auto"/>
                <w:szCs w:val="21"/>
                <w:highlight w:val="none"/>
                <w:lang w:val="en-US" w:eastAsia="zh-CN"/>
              </w:rPr>
              <w:t xml:space="preserve">）</w:t>
            </w:r>
            <w:r>
              <w:rPr>
                <w:rStyle w:val="909"/>
                <w:rFonts w:hint="eastAsia" w:ascii="宋体" w:hAnsi="宋体" w:cs="宋体"/>
                <w:b/>
                <w:bCs/>
                <w:color w:val="auto"/>
                <w:szCs w:val="21"/>
                <w:highlight w:val="none"/>
                <w:lang w:val="en-US" w:eastAsia="zh-CN"/>
              </w:rPr>
              <w:t xml:space="preserve">和</w:t>
            </w:r>
            <w:r>
              <w:rPr>
                <w:rStyle w:val="909"/>
                <w:rFonts w:hint="eastAsia" w:ascii="宋体" w:hAnsi="宋体" w:eastAsia="宋体" w:cs="宋体"/>
                <w:b/>
                <w:bCs/>
                <w:color w:val="auto"/>
                <w:szCs w:val="21"/>
                <w:highlight w:val="none"/>
                <w:lang w:eastAsia="zh-CN"/>
              </w:rPr>
              <w:t xml:space="preserve">车辆购置发票</w:t>
            </w:r>
            <w:r>
              <w:rPr>
                <w:rStyle w:val="909"/>
                <w:rFonts w:hint="eastAsia" w:ascii="宋体" w:hAnsi="宋体" w:cs="宋体"/>
                <w:b/>
                <w:bCs/>
                <w:color w:val="auto"/>
                <w:szCs w:val="21"/>
                <w:highlight w:val="none"/>
                <w:lang w:val="en-US" w:eastAsia="zh-CN"/>
              </w:rPr>
              <w:t xml:space="preserve">等有效证明扫</w:t>
            </w:r>
            <w:r>
              <w:rPr>
                <w:rStyle w:val="909"/>
                <w:rFonts w:hint="eastAsia" w:ascii="宋体" w:hAnsi="宋体" w:eastAsia="宋体" w:cs="宋体"/>
                <w:b/>
                <w:bCs/>
                <w:color w:val="auto"/>
                <w:szCs w:val="21"/>
                <w:highlight w:val="none"/>
                <w:lang w:eastAsia="zh-CN"/>
              </w:rPr>
              <w:t xml:space="preserve">描件并加盖公章</w:t>
            </w:r>
            <w:r>
              <w:rPr>
                <w:rStyle w:val="909"/>
                <w:rFonts w:hint="eastAsia" w:ascii="宋体" w:hAnsi="宋体" w:cs="宋体"/>
                <w:b/>
                <w:bCs/>
                <w:color w:val="auto"/>
                <w:szCs w:val="21"/>
                <w:highlight w:val="none"/>
                <w:lang w:eastAsia="zh-CN"/>
              </w:rPr>
              <w:t xml:space="preserve">；</w:t>
            </w:r>
            <w:r/>
          </w:p>
          <w:p>
            <w:pPr>
              <w:keepLines w:val="0"/>
              <w:keepNext w:val="0"/>
              <w:pageBreakBefore w:val="0"/>
              <w:spacing w:line="400" w:lineRule="exact"/>
              <w:widowControl w:val="off"/>
              <w:rPr>
                <w:rFonts w:hint="eastAsia" w:eastAsia="宋体"/>
                <w:color w:val="auto"/>
                <w:highlight w:val="none"/>
                <w:lang w:val="en-US" w:eastAsia="zh-CN"/>
              </w:rPr>
            </w:pPr>
            <w:r>
              <w:rPr>
                <w:rStyle w:val="909"/>
                <w:rFonts w:hint="eastAsia" w:ascii="宋体" w:hAnsi="宋体" w:eastAsia="宋体" w:cs="宋体"/>
                <w:b/>
                <w:bCs/>
                <w:color w:val="auto"/>
                <w:szCs w:val="21"/>
                <w:highlight w:val="none"/>
                <w:lang w:eastAsia="zh-CN"/>
              </w:rPr>
              <w:t xml:space="preserve">（</w:t>
            </w:r>
            <w:r>
              <w:rPr>
                <w:rStyle w:val="909"/>
                <w:rFonts w:hint="eastAsia" w:ascii="宋体" w:hAnsi="宋体" w:eastAsia="宋体" w:cs="宋体"/>
                <w:b/>
                <w:bCs/>
                <w:color w:val="auto"/>
                <w:szCs w:val="21"/>
                <w:highlight w:val="none"/>
                <w:lang w:val="en-US" w:eastAsia="zh-CN"/>
              </w:rPr>
              <w:t xml:space="preserve">3</w:t>
            </w:r>
            <w:r>
              <w:rPr>
                <w:rStyle w:val="909"/>
                <w:rFonts w:hint="eastAsia" w:ascii="宋体" w:hAnsi="宋体" w:eastAsia="宋体" w:cs="宋体"/>
                <w:b/>
                <w:bCs/>
                <w:color w:val="auto"/>
                <w:szCs w:val="21"/>
                <w:highlight w:val="none"/>
                <w:lang w:eastAsia="zh-CN"/>
              </w:rPr>
              <w:t xml:space="preserve">）</w:t>
            </w:r>
            <w:r>
              <w:rPr>
                <w:rStyle w:val="909"/>
                <w:rFonts w:hint="eastAsia" w:ascii="宋体" w:hAnsi="宋体" w:eastAsia="宋体" w:cs="宋体"/>
                <w:b/>
                <w:bCs/>
                <w:color w:val="auto"/>
                <w:szCs w:val="21"/>
                <w:highlight w:val="none"/>
                <w:lang w:val="en-US" w:eastAsia="zh-CN"/>
              </w:rPr>
              <w:t xml:space="preserve">未提供或提供不全不得分。</w:t>
            </w:r>
            <w:r/>
          </w:p>
        </w:tc>
      </w:tr>
      <w:tr>
        <w:trPr>
          <w:jc w:val="center"/>
          <w:trHeight w:val="454"/>
        </w:trPr>
        <w:tc>
          <w:tcPr>
            <w:gridSpan w:val="4"/>
            <w:tcW w:w="8343" w:type="dxa"/>
            <w:vAlign w:val="center"/>
            <w:textDirection w:val="lrTb"/>
            <w:noWrap w:val="false"/>
          </w:tcPr>
          <w:p>
            <w:pPr>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三、技术评审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60</w:t>
            </w:r>
            <w:r>
              <w:rPr>
                <w:rFonts w:hint="eastAsia" w:ascii="宋体" w:hAnsi="宋体" w:eastAsia="宋体" w:cs="宋体"/>
                <w:color w:val="auto"/>
                <w:szCs w:val="21"/>
                <w:highlight w:val="none"/>
                <w:lang w:val="en-US" w:eastAsia="zh-CN"/>
              </w:rPr>
              <w:t xml:space="preserve">分</w:t>
            </w:r>
            <w:r>
              <w:rPr>
                <w:rFonts w:hint="eastAsia" w:ascii="宋体" w:hAnsi="宋体" w:eastAsia="宋体" w:cs="宋体"/>
                <w:color w:val="auto"/>
                <w:szCs w:val="21"/>
                <w:highlight w:val="none"/>
              </w:rPr>
              <w:t xml:space="preserve">）</w:t>
            </w:r>
            <w:r/>
          </w:p>
        </w:tc>
      </w:tr>
      <w:tr>
        <w:trPr>
          <w:jc w:val="center"/>
          <w:trHeight w:val="744"/>
        </w:trPr>
        <w:tc>
          <w:tcPr>
            <w:tcW w:w="622" w:type="dxa"/>
            <w:vAlign w:val="center"/>
            <w:textDirection w:val="lrTb"/>
            <w:noWrap w:val="false"/>
          </w:tcPr>
          <w:p>
            <w:pPr>
              <w:jc w:val="center"/>
              <w:spacing w:line="24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3.1</w:t>
            </w:r>
            <w:r/>
          </w:p>
        </w:tc>
        <w:tc>
          <w:tcPr>
            <w:tcW w:w="850" w:type="dxa"/>
            <w:vAlign w:val="center"/>
            <w:textDirection w:val="lrTb"/>
            <w:noWrap w:val="false"/>
          </w:tcPr>
          <w:p>
            <w:pPr>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内部</w:t>
            </w:r>
            <w:r/>
          </w:p>
          <w:p>
            <w:pPr>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管理</w:t>
            </w:r>
            <w:r/>
          </w:p>
        </w:tc>
        <w:tc>
          <w:tcPr>
            <w:tcW w:w="837" w:type="dxa"/>
            <w:vAlign w:val="center"/>
            <w:textDirection w:val="lrTb"/>
            <w:noWrap w:val="false"/>
          </w:tcPr>
          <w:p>
            <w:pPr>
              <w:jc w:val="center"/>
              <w:spacing w:line="24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en-US" w:eastAsia="zh-CN"/>
              </w:rPr>
              <w:t xml:space="preserve">分</w:t>
            </w:r>
            <w:r/>
          </w:p>
        </w:tc>
        <w:tc>
          <w:tcPr>
            <w:shd w:val="clear" w:color="auto" w:fill="auto"/>
            <w:tcW w:w="6034" w:type="dxa"/>
            <w:vAlign w:val="center"/>
            <w:textDirection w:val="lrTb"/>
            <w:noWrap w:val="false"/>
          </w:tcPr>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项目组织机构配备一览表和各类管理制度：</w:t>
            </w:r>
            <w:r/>
          </w:p>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（1）项目组织机构配备一览表和各类管理制度完善，项目组织机构配备和各类管理制度切实可行，人员考核标准、措施、奖罚机制等完善的，得</w:t>
            </w:r>
            <w:r>
              <w:rPr>
                <w:rFonts w:hint="eastAsia" w:ascii="宋体" w:hAnsi="宋体" w:cs="宋体"/>
                <w:color w:val="auto"/>
                <w:szCs w:val="21"/>
                <w:highlight w:val="none"/>
                <w:lang w:val="en-US" w:eastAsia="zh-CN"/>
              </w:rPr>
              <w:t xml:space="preserve">7</w:t>
            </w:r>
            <w:r>
              <w:rPr>
                <w:rFonts w:hint="eastAsia" w:ascii="宋体" w:hAnsi="宋体" w:eastAsia="宋体" w:cs="宋体"/>
                <w:color w:val="auto"/>
                <w:szCs w:val="21"/>
                <w:highlight w:val="none"/>
                <w:lang w:val="en-US" w:eastAsia="zh-CN"/>
              </w:rPr>
              <w:t xml:space="preserve">分；</w:t>
            </w:r>
            <w:r/>
          </w:p>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（2）项目组织机构配备一览表和各类管理制度基本完善，项目组织机构配备和各类管理制度基本可行，人员考核标准、措施、奖罚机制等基本完善的，得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w:t>
            </w:r>
            <w:r/>
          </w:p>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（3）项目组织机构配备一览表和各类管理制度基本完善，但项目组织机构配备和各类管理制度可行性较低，人员考核标准、措施、奖罚机制等不完善或不可行的，得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w:t>
            </w:r>
            <w:r/>
          </w:p>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（4）未提供不得分。</w:t>
            </w:r>
            <w:r/>
          </w:p>
        </w:tc>
      </w:tr>
      <w:tr>
        <w:trPr>
          <w:jc w:val="center"/>
          <w:trHeight w:val="744"/>
        </w:trPr>
        <w:tc>
          <w:tcPr>
            <w:tcW w:w="622" w:type="dxa"/>
            <w:vAlign w:val="center"/>
            <w:vMerge w:val="restart"/>
            <w:textDirection w:val="lrTb"/>
            <w:noWrap w:val="false"/>
          </w:tcPr>
          <w:p>
            <w:pPr>
              <w:jc w:val="center"/>
              <w:spacing w:line="24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3.2</w:t>
            </w:r>
            <w:r/>
          </w:p>
        </w:tc>
        <w:tc>
          <w:tcPr>
            <w:tcW w:w="850" w:type="dxa"/>
            <w:vAlign w:val="center"/>
            <w:vMerge w:val="restart"/>
            <w:textDirection w:val="lrTb"/>
            <w:noWrap w:val="false"/>
          </w:tcPr>
          <w:p>
            <w:pPr>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人员作业方案</w:t>
            </w:r>
            <w:r/>
          </w:p>
        </w:tc>
        <w:tc>
          <w:tcPr>
            <w:tcW w:w="837" w:type="dxa"/>
            <w:vAlign w:val="center"/>
            <w:textDirection w:val="lrTb"/>
            <w:noWrap w:val="false"/>
          </w:tcPr>
          <w:p>
            <w:pPr>
              <w:jc w:val="center"/>
              <w:spacing w:line="24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分</w:t>
            </w:r>
            <w:r/>
          </w:p>
        </w:tc>
        <w:tc>
          <w:tcPr>
            <w:shd w:val="clear" w:color="auto" w:fill="auto"/>
            <w:tcW w:w="6034" w:type="dxa"/>
            <w:vAlign w:val="center"/>
            <w:textDirection w:val="lrTb"/>
            <w:noWrap w:val="false"/>
          </w:tcPr>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（1）清扫保洁（含垃圾收集）人员作业时间、班组配置、清扫保洁人员（含垃圾收集）分布表、月度排班表</w:t>
            </w:r>
            <w:r>
              <w:rPr>
                <w:rFonts w:hint="eastAsia" w:ascii="宋体" w:hAnsi="宋体" w:cs="宋体"/>
                <w:color w:val="auto"/>
                <w:szCs w:val="21"/>
                <w:highlight w:val="none"/>
                <w:lang w:val="en-US" w:eastAsia="zh-CN"/>
              </w:rPr>
              <w:t xml:space="preserve">：</w:t>
            </w:r>
            <w:r/>
          </w:p>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方案内容齐全、班组配置体系完整、配置科学、逻辑清晰、贴合现场实际，可直接落地执行、日常可管控、运维可行性强的得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分；</w:t>
            </w:r>
            <w:r/>
          </w:p>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方案内容</w:t>
            </w:r>
            <w:r>
              <w:rPr>
                <w:rFonts w:hint="eastAsia" w:ascii="宋体" w:hAnsi="宋体" w:cs="宋体"/>
                <w:color w:val="auto"/>
                <w:szCs w:val="21"/>
                <w:highlight w:val="none"/>
                <w:lang w:val="en-US" w:eastAsia="zh-CN"/>
              </w:rPr>
              <w:t xml:space="preserve">较</w:t>
            </w:r>
            <w:r>
              <w:rPr>
                <w:rFonts w:hint="eastAsia" w:ascii="宋体" w:hAnsi="宋体" w:eastAsia="宋体" w:cs="宋体"/>
                <w:color w:val="auto"/>
                <w:szCs w:val="21"/>
                <w:highlight w:val="none"/>
                <w:lang w:val="en-US" w:eastAsia="zh-CN"/>
              </w:rPr>
              <w:t xml:space="preserve">全、班组配置体系</w:t>
            </w:r>
            <w:r>
              <w:rPr>
                <w:rFonts w:hint="eastAsia" w:ascii="宋体" w:hAnsi="宋体" w:cs="宋体"/>
                <w:color w:val="auto"/>
                <w:szCs w:val="21"/>
                <w:highlight w:val="none"/>
                <w:lang w:val="en-US" w:eastAsia="zh-CN"/>
              </w:rPr>
              <w:t xml:space="preserve">较</w:t>
            </w:r>
            <w:r>
              <w:rPr>
                <w:rFonts w:hint="eastAsia" w:ascii="宋体" w:hAnsi="宋体" w:eastAsia="宋体" w:cs="宋体"/>
                <w:color w:val="auto"/>
                <w:szCs w:val="21"/>
                <w:highlight w:val="none"/>
                <w:lang w:val="en-US" w:eastAsia="zh-CN"/>
              </w:rPr>
              <w:t xml:space="preserve">完整、配置</w:t>
            </w:r>
            <w:r>
              <w:rPr>
                <w:rFonts w:hint="eastAsia" w:ascii="宋体" w:hAnsi="宋体" w:cs="宋体"/>
                <w:color w:val="auto"/>
                <w:szCs w:val="21"/>
                <w:highlight w:val="none"/>
                <w:lang w:val="en-US" w:eastAsia="zh-CN"/>
              </w:rPr>
              <w:t xml:space="preserve">较</w:t>
            </w:r>
            <w:r>
              <w:rPr>
                <w:rFonts w:hint="eastAsia" w:ascii="宋体" w:hAnsi="宋体" w:eastAsia="宋体" w:cs="宋体"/>
                <w:color w:val="auto"/>
                <w:szCs w:val="21"/>
                <w:highlight w:val="none"/>
                <w:lang w:val="en-US" w:eastAsia="zh-CN"/>
              </w:rPr>
              <w:t xml:space="preserve">科学、逻辑</w:t>
            </w:r>
            <w:r>
              <w:rPr>
                <w:rFonts w:hint="eastAsia" w:ascii="宋体" w:hAnsi="宋体" w:cs="宋体"/>
                <w:color w:val="auto"/>
                <w:szCs w:val="21"/>
                <w:highlight w:val="none"/>
                <w:lang w:val="en-US" w:eastAsia="zh-CN"/>
              </w:rPr>
              <w:t xml:space="preserve">较</w:t>
            </w:r>
            <w:r>
              <w:rPr>
                <w:rFonts w:hint="eastAsia" w:ascii="宋体" w:hAnsi="宋体" w:eastAsia="宋体" w:cs="宋体"/>
                <w:color w:val="auto"/>
                <w:szCs w:val="21"/>
                <w:highlight w:val="none"/>
                <w:lang w:val="en-US" w:eastAsia="zh-CN"/>
              </w:rPr>
              <w:t xml:space="preserve">清晰、</w:t>
            </w:r>
            <w:r>
              <w:rPr>
                <w:rFonts w:hint="eastAsia" w:ascii="宋体" w:hAnsi="宋体" w:cs="宋体"/>
                <w:color w:val="auto"/>
                <w:szCs w:val="21"/>
                <w:highlight w:val="none"/>
                <w:lang w:val="en-US" w:eastAsia="zh-CN"/>
              </w:rPr>
              <w:t xml:space="preserve">比较</w:t>
            </w:r>
            <w:r>
              <w:rPr>
                <w:rFonts w:hint="eastAsia" w:ascii="宋体" w:hAnsi="宋体" w:eastAsia="宋体" w:cs="宋体"/>
                <w:color w:val="auto"/>
                <w:szCs w:val="21"/>
                <w:highlight w:val="none"/>
                <w:lang w:val="en-US" w:eastAsia="zh-CN"/>
              </w:rPr>
              <w:t xml:space="preserve">贴合现场实际，</w:t>
            </w:r>
            <w:r>
              <w:rPr>
                <w:rFonts w:hint="eastAsia" w:ascii="宋体" w:hAnsi="宋体" w:cs="宋体"/>
                <w:color w:val="auto"/>
                <w:szCs w:val="21"/>
                <w:highlight w:val="none"/>
                <w:lang w:val="en-US" w:eastAsia="zh-CN"/>
              </w:rPr>
              <w:t xml:space="preserve">日常管控、</w:t>
            </w:r>
            <w:r>
              <w:rPr>
                <w:rFonts w:hint="eastAsia" w:ascii="宋体" w:hAnsi="宋体" w:eastAsia="宋体" w:cs="宋体"/>
                <w:color w:val="auto"/>
                <w:szCs w:val="21"/>
                <w:highlight w:val="none"/>
                <w:lang w:val="en-US" w:eastAsia="zh-CN"/>
              </w:rPr>
              <w:t xml:space="preserve">运维可行性</w:t>
            </w:r>
            <w:r>
              <w:rPr>
                <w:rFonts w:hint="eastAsia" w:ascii="宋体" w:hAnsi="宋体" w:cs="宋体"/>
                <w:color w:val="auto"/>
                <w:szCs w:val="21"/>
                <w:highlight w:val="none"/>
                <w:lang w:val="en-US" w:eastAsia="zh-CN"/>
              </w:rPr>
              <w:t xml:space="preserve">较强</w:t>
            </w:r>
            <w:r>
              <w:rPr>
                <w:rFonts w:hint="eastAsia" w:ascii="宋体" w:hAnsi="宋体" w:eastAsia="宋体" w:cs="宋体"/>
                <w:color w:val="auto"/>
                <w:szCs w:val="21"/>
                <w:highlight w:val="none"/>
                <w:lang w:val="en-US" w:eastAsia="zh-CN"/>
              </w:rPr>
              <w:t xml:space="preserve">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分；</w:t>
            </w:r>
            <w:r/>
          </w:p>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方案内容</w:t>
            </w:r>
            <w:r>
              <w:rPr>
                <w:rFonts w:hint="eastAsia" w:ascii="宋体" w:hAnsi="宋体" w:cs="宋体"/>
                <w:color w:val="auto"/>
                <w:szCs w:val="21"/>
                <w:highlight w:val="none"/>
                <w:lang w:val="en-US" w:eastAsia="zh-CN"/>
              </w:rPr>
              <w:t xml:space="preserve">基本</w:t>
            </w:r>
            <w:r>
              <w:rPr>
                <w:rFonts w:hint="eastAsia" w:ascii="宋体" w:hAnsi="宋体" w:eastAsia="宋体" w:cs="宋体"/>
                <w:color w:val="auto"/>
                <w:szCs w:val="21"/>
                <w:highlight w:val="none"/>
                <w:lang w:val="en-US" w:eastAsia="zh-CN"/>
              </w:rPr>
              <w:t xml:space="preserve">齐全、班组配置体系</w:t>
            </w:r>
            <w:r>
              <w:rPr>
                <w:rFonts w:hint="eastAsia" w:ascii="宋体" w:hAnsi="宋体" w:cs="宋体"/>
                <w:color w:val="auto"/>
                <w:szCs w:val="21"/>
                <w:highlight w:val="none"/>
                <w:lang w:val="en-US" w:eastAsia="zh-CN"/>
              </w:rPr>
              <w:t xml:space="preserve">不够科学</w:t>
            </w:r>
            <w:r>
              <w:rPr>
                <w:rFonts w:hint="eastAsia" w:ascii="宋体" w:hAnsi="宋体" w:eastAsia="宋体" w:cs="宋体"/>
                <w:color w:val="auto"/>
                <w:szCs w:val="21"/>
                <w:highlight w:val="none"/>
                <w:lang w:val="en-US" w:eastAsia="zh-CN"/>
              </w:rPr>
              <w:t xml:space="preserve">、逻辑</w:t>
            </w:r>
            <w:r>
              <w:rPr>
                <w:rFonts w:hint="eastAsia" w:ascii="宋体" w:hAnsi="宋体" w:cs="宋体"/>
                <w:color w:val="auto"/>
                <w:szCs w:val="21"/>
                <w:highlight w:val="none"/>
                <w:lang w:val="en-US" w:eastAsia="zh-CN"/>
              </w:rPr>
              <w:t xml:space="preserve">不够</w:t>
            </w:r>
            <w:r>
              <w:rPr>
                <w:rFonts w:hint="eastAsia" w:ascii="宋体" w:hAnsi="宋体" w:eastAsia="宋体" w:cs="宋体"/>
                <w:color w:val="auto"/>
                <w:szCs w:val="21"/>
                <w:highlight w:val="none"/>
                <w:lang w:val="en-US" w:eastAsia="zh-CN"/>
              </w:rPr>
              <w:t xml:space="preserve">清晰、</w:t>
            </w:r>
            <w:r>
              <w:rPr>
                <w:rFonts w:hint="eastAsia" w:ascii="宋体" w:hAnsi="宋体" w:cs="宋体"/>
                <w:color w:val="auto"/>
                <w:szCs w:val="21"/>
                <w:highlight w:val="none"/>
                <w:lang w:val="en-US" w:eastAsia="zh-CN"/>
              </w:rPr>
              <w:t xml:space="preserve">偏离</w:t>
            </w:r>
            <w:r>
              <w:rPr>
                <w:rFonts w:hint="eastAsia" w:ascii="宋体" w:hAnsi="宋体" w:eastAsia="宋体" w:cs="宋体"/>
                <w:color w:val="auto"/>
                <w:szCs w:val="21"/>
                <w:highlight w:val="none"/>
                <w:lang w:val="en-US" w:eastAsia="zh-CN"/>
              </w:rPr>
              <w:t xml:space="preserve">现场实际，</w:t>
            </w:r>
            <w:r>
              <w:rPr>
                <w:rFonts w:hint="eastAsia" w:ascii="宋体" w:hAnsi="宋体" w:cs="宋体"/>
                <w:color w:val="auto"/>
                <w:szCs w:val="21"/>
                <w:highlight w:val="none"/>
                <w:lang w:val="en-US" w:eastAsia="zh-CN"/>
              </w:rPr>
              <w:t xml:space="preserve">日常管控、</w:t>
            </w:r>
            <w:r>
              <w:rPr>
                <w:rFonts w:hint="eastAsia" w:ascii="宋体" w:hAnsi="宋体" w:eastAsia="宋体" w:cs="宋体"/>
                <w:color w:val="auto"/>
                <w:szCs w:val="21"/>
                <w:highlight w:val="none"/>
                <w:lang w:val="en-US" w:eastAsia="zh-CN"/>
              </w:rPr>
              <w:t xml:space="preserve">运维可行性</w:t>
            </w:r>
            <w:r>
              <w:rPr>
                <w:rFonts w:hint="eastAsia" w:ascii="宋体" w:hAnsi="宋体" w:cs="宋体"/>
                <w:color w:val="auto"/>
                <w:szCs w:val="21"/>
                <w:highlight w:val="none"/>
                <w:lang w:val="en-US" w:eastAsia="zh-CN"/>
              </w:rPr>
              <w:t xml:space="preserve">较弱</w:t>
            </w:r>
            <w:r>
              <w:rPr>
                <w:rFonts w:hint="eastAsia" w:ascii="宋体" w:hAnsi="宋体" w:eastAsia="宋体" w:cs="宋体"/>
                <w:color w:val="auto"/>
                <w:szCs w:val="21"/>
                <w:highlight w:val="none"/>
                <w:lang w:val="en-US" w:eastAsia="zh-CN"/>
              </w:rPr>
              <w:t xml:space="preserve">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w:t>
            </w:r>
            <w:r/>
          </w:p>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未提供不得分。</w:t>
            </w:r>
            <w:r/>
          </w:p>
        </w:tc>
      </w:tr>
      <w:tr>
        <w:trPr>
          <w:jc w:val="center"/>
          <w:trHeight w:val="744"/>
        </w:trPr>
        <w:tc>
          <w:tcPr>
            <w:tcW w:w="622" w:type="dxa"/>
            <w:vAlign w:val="center"/>
            <w:vMerge w:val="continue"/>
            <w:textDirection w:val="lrTb"/>
            <w:noWrap w:val="false"/>
          </w:tcPr>
          <w:p>
            <w:pPr>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vMerge w:val="continue"/>
            <w:textDirection w:val="lrTb"/>
            <w:noWrap w:val="false"/>
          </w:tcPr>
          <w:p>
            <w:pPr>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837" w:type="dxa"/>
            <w:vAlign w:val="center"/>
            <w:textDirection w:val="lrTb"/>
            <w:noWrap w:val="false"/>
          </w:tcPr>
          <w:p>
            <w:pPr>
              <w:jc w:val="center"/>
              <w:spacing w:line="24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w:t>
            </w:r>
            <w:r/>
          </w:p>
        </w:tc>
        <w:tc>
          <w:tcPr>
            <w:shd w:val="clear" w:color="auto" w:fill="auto"/>
            <w:tcW w:w="6034" w:type="dxa"/>
            <w:vAlign w:val="center"/>
            <w:textDirection w:val="lrTb"/>
            <w:noWrap w:val="false"/>
          </w:tcPr>
          <w:p>
            <w:pPr>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（2）清扫保洁（含垃圾收集）车辆、工具配备情况一览表（除机械化车辆外，其他所有保洁工具及设备的配备情况）</w:t>
            </w:r>
            <w:r>
              <w:rPr>
                <w:rFonts w:hint="eastAsia" w:ascii="宋体" w:hAnsi="宋体" w:cs="宋体"/>
                <w:color w:val="auto"/>
                <w:szCs w:val="21"/>
                <w:highlight w:val="none"/>
                <w:lang w:val="en-US" w:eastAsia="zh-CN"/>
              </w:rPr>
              <w:t xml:space="preserve">：</w:t>
            </w:r>
            <w:r/>
          </w:p>
          <w:p>
            <w:pPr>
              <w:spacing w:line="40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车辆、工具种类齐全、数量匹配到位、配置标准规范，资源统筹分配合理，贴合现场作业流程与日常管理要求</w:t>
            </w:r>
            <w:r>
              <w:rPr>
                <w:rFonts w:hint="eastAsia" w:ascii="宋体" w:hAnsi="宋体" w:cs="宋体"/>
                <w:color w:val="auto"/>
                <w:szCs w:val="21"/>
                <w:highlight w:val="none"/>
                <w:lang w:val="en-US" w:eastAsia="zh-CN"/>
              </w:rPr>
              <w:t xml:space="preserve">的得5分；</w:t>
            </w:r>
            <w:r/>
          </w:p>
          <w:p>
            <w:pPr>
              <w:spacing w:line="40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车辆、工具种类</w:t>
            </w:r>
            <w:r>
              <w:rPr>
                <w:rFonts w:hint="eastAsia" w:ascii="宋体" w:hAnsi="宋体" w:cs="宋体"/>
                <w:color w:val="auto"/>
                <w:szCs w:val="21"/>
                <w:highlight w:val="none"/>
                <w:lang w:val="en-US" w:eastAsia="zh-CN"/>
              </w:rPr>
              <w:t xml:space="preserve">基本</w:t>
            </w:r>
            <w:r>
              <w:rPr>
                <w:rFonts w:hint="eastAsia" w:ascii="宋体" w:hAnsi="宋体" w:eastAsia="宋体" w:cs="宋体"/>
                <w:color w:val="auto"/>
                <w:szCs w:val="21"/>
                <w:highlight w:val="none"/>
                <w:lang w:val="en-US" w:eastAsia="zh-CN"/>
              </w:rPr>
              <w:t xml:space="preserve">齐全、数量</w:t>
            </w:r>
            <w:r>
              <w:rPr>
                <w:rFonts w:hint="eastAsia" w:ascii="宋体" w:hAnsi="宋体" w:cs="宋体"/>
                <w:color w:val="auto"/>
                <w:szCs w:val="21"/>
                <w:highlight w:val="none"/>
                <w:lang w:val="en-US" w:eastAsia="zh-CN"/>
              </w:rPr>
              <w:t xml:space="preserve">基本</w:t>
            </w:r>
            <w:r>
              <w:rPr>
                <w:rFonts w:hint="eastAsia" w:ascii="宋体" w:hAnsi="宋体" w:eastAsia="宋体" w:cs="宋体"/>
                <w:color w:val="auto"/>
                <w:szCs w:val="21"/>
                <w:highlight w:val="none"/>
                <w:lang w:val="en-US" w:eastAsia="zh-CN"/>
              </w:rPr>
              <w:t xml:space="preserve">匹配</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资源统筹分配</w:t>
            </w:r>
            <w:r>
              <w:rPr>
                <w:rFonts w:hint="eastAsia" w:ascii="宋体" w:hAnsi="宋体" w:cs="宋体"/>
                <w:color w:val="auto"/>
                <w:szCs w:val="21"/>
                <w:highlight w:val="none"/>
                <w:lang w:val="en-US" w:eastAsia="zh-CN"/>
              </w:rPr>
              <w:t xml:space="preserve">基本</w:t>
            </w:r>
            <w:r>
              <w:rPr>
                <w:rFonts w:hint="eastAsia" w:ascii="宋体" w:hAnsi="宋体" w:eastAsia="宋体" w:cs="宋体"/>
                <w:color w:val="auto"/>
                <w:szCs w:val="21"/>
                <w:highlight w:val="none"/>
                <w:lang w:val="en-US" w:eastAsia="zh-CN"/>
              </w:rPr>
              <w:t xml:space="preserve">合理，</w:t>
            </w:r>
            <w:r>
              <w:rPr>
                <w:rFonts w:hint="eastAsia" w:ascii="宋体" w:hAnsi="宋体" w:cs="宋体"/>
                <w:color w:val="auto"/>
                <w:szCs w:val="21"/>
                <w:highlight w:val="none"/>
                <w:lang w:val="en-US" w:eastAsia="zh-CN"/>
              </w:rPr>
              <w:t xml:space="preserve">比较</w:t>
            </w:r>
            <w:r>
              <w:rPr>
                <w:rFonts w:hint="eastAsia" w:ascii="宋体" w:hAnsi="宋体" w:eastAsia="宋体" w:cs="宋体"/>
                <w:color w:val="auto"/>
                <w:szCs w:val="21"/>
                <w:highlight w:val="none"/>
                <w:lang w:val="en-US" w:eastAsia="zh-CN"/>
              </w:rPr>
              <w:t xml:space="preserve">贴合现场作业流程与日常管理要求</w:t>
            </w:r>
            <w:r>
              <w:rPr>
                <w:rFonts w:hint="eastAsia" w:ascii="宋体" w:hAnsi="宋体" w:cs="宋体"/>
                <w:color w:val="auto"/>
                <w:szCs w:val="21"/>
                <w:highlight w:val="none"/>
                <w:lang w:val="en-US" w:eastAsia="zh-CN"/>
              </w:rPr>
              <w:t xml:space="preserve">的得3分；</w:t>
            </w:r>
            <w:r/>
          </w:p>
          <w:p>
            <w:pPr>
              <w:spacing w:line="40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车辆、工具种类</w:t>
            </w:r>
            <w:r>
              <w:rPr>
                <w:rFonts w:hint="eastAsia" w:ascii="宋体" w:hAnsi="宋体" w:cs="宋体"/>
                <w:color w:val="auto"/>
                <w:szCs w:val="21"/>
                <w:highlight w:val="none"/>
                <w:lang w:val="en-US" w:eastAsia="zh-CN"/>
              </w:rPr>
              <w:t xml:space="preserve">不够</w:t>
            </w:r>
            <w:r>
              <w:rPr>
                <w:rFonts w:hint="eastAsia" w:ascii="宋体" w:hAnsi="宋体" w:eastAsia="宋体" w:cs="宋体"/>
                <w:color w:val="auto"/>
                <w:szCs w:val="21"/>
                <w:highlight w:val="none"/>
                <w:lang w:val="en-US" w:eastAsia="zh-CN"/>
              </w:rPr>
              <w:t xml:space="preserve">全、数量</w:t>
            </w:r>
            <w:r>
              <w:rPr>
                <w:rFonts w:hint="eastAsia" w:ascii="宋体" w:hAnsi="宋体" w:cs="宋体"/>
                <w:color w:val="auto"/>
                <w:szCs w:val="21"/>
                <w:highlight w:val="none"/>
                <w:lang w:val="en-US" w:eastAsia="zh-CN"/>
              </w:rPr>
              <w:t xml:space="preserve">少，</w:t>
            </w:r>
            <w:r>
              <w:rPr>
                <w:rFonts w:hint="eastAsia" w:ascii="宋体" w:hAnsi="宋体" w:eastAsia="宋体" w:cs="宋体"/>
                <w:color w:val="auto"/>
                <w:szCs w:val="21"/>
                <w:highlight w:val="none"/>
                <w:lang w:val="en-US" w:eastAsia="zh-CN"/>
              </w:rPr>
              <w:t xml:space="preserve">资源统筹分配</w:t>
            </w:r>
            <w:r>
              <w:rPr>
                <w:rFonts w:hint="eastAsia" w:ascii="宋体" w:hAnsi="宋体" w:cs="宋体"/>
                <w:color w:val="auto"/>
                <w:szCs w:val="21"/>
                <w:highlight w:val="none"/>
                <w:lang w:val="en-US" w:eastAsia="zh-CN"/>
              </w:rPr>
              <w:t xml:space="preserve">不够</w:t>
            </w:r>
            <w:r>
              <w:rPr>
                <w:rFonts w:hint="eastAsia" w:ascii="宋体" w:hAnsi="宋体" w:eastAsia="宋体" w:cs="宋体"/>
                <w:color w:val="auto"/>
                <w:szCs w:val="21"/>
                <w:highlight w:val="none"/>
                <w:lang w:val="en-US" w:eastAsia="zh-CN"/>
              </w:rPr>
              <w:t xml:space="preserve">合理，</w:t>
            </w:r>
            <w:r>
              <w:rPr>
                <w:rFonts w:hint="eastAsia" w:ascii="宋体" w:hAnsi="宋体" w:cs="宋体"/>
                <w:color w:val="auto"/>
                <w:szCs w:val="21"/>
                <w:highlight w:val="none"/>
                <w:lang w:val="en-US" w:eastAsia="zh-CN"/>
              </w:rPr>
              <w:t xml:space="preserve">偏离</w:t>
            </w:r>
            <w:r>
              <w:rPr>
                <w:rFonts w:hint="eastAsia" w:ascii="宋体" w:hAnsi="宋体" w:eastAsia="宋体" w:cs="宋体"/>
                <w:color w:val="auto"/>
                <w:szCs w:val="21"/>
                <w:highlight w:val="none"/>
                <w:lang w:val="en-US" w:eastAsia="zh-CN"/>
              </w:rPr>
              <w:t xml:space="preserve">现场作业流程与日常管理要求</w:t>
            </w:r>
            <w:r>
              <w:rPr>
                <w:rFonts w:hint="eastAsia" w:ascii="宋体" w:hAnsi="宋体" w:cs="宋体"/>
                <w:color w:val="auto"/>
                <w:szCs w:val="21"/>
                <w:highlight w:val="none"/>
                <w:lang w:val="en-US" w:eastAsia="zh-CN"/>
              </w:rPr>
              <w:t xml:space="preserve">的得1分；</w:t>
            </w:r>
            <w:r/>
          </w:p>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未提供不得分。</w:t>
            </w:r>
            <w:r/>
          </w:p>
        </w:tc>
      </w:tr>
      <w:tr>
        <w:trPr>
          <w:jc w:val="center"/>
          <w:trHeight w:val="744"/>
        </w:trPr>
        <w:tc>
          <w:tcPr>
            <w:tcW w:w="622" w:type="dxa"/>
            <w:vAlign w:val="center"/>
            <w:vMerge w:val="continue"/>
            <w:textDirection w:val="lrTb"/>
            <w:noWrap w:val="false"/>
          </w:tcPr>
          <w:p>
            <w:pPr>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vMerge w:val="continue"/>
            <w:textDirection w:val="lrTb"/>
            <w:noWrap w:val="false"/>
          </w:tcPr>
          <w:p>
            <w:pPr>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837" w:type="dxa"/>
            <w:vAlign w:val="center"/>
            <w:textDirection w:val="lrTb"/>
            <w:noWrap w:val="false"/>
          </w:tcPr>
          <w:p>
            <w:pPr>
              <w:jc w:val="center"/>
              <w:spacing w:line="24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w:t>
            </w:r>
            <w:r/>
          </w:p>
        </w:tc>
        <w:tc>
          <w:tcPr>
            <w:shd w:val="clear" w:color="auto" w:fill="auto"/>
            <w:tcW w:w="6034" w:type="dxa"/>
            <w:vAlign w:val="center"/>
            <w:textDirection w:val="lrTb"/>
            <w:noWrap w:val="false"/>
          </w:tcPr>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（3）道路两侧各类垃圾桶（箱）等卫生容器清洗、更换和暴露垃圾清理方案</w:t>
            </w:r>
            <w:r>
              <w:rPr>
                <w:rFonts w:hint="eastAsia" w:ascii="宋体" w:hAnsi="宋体" w:cs="宋体"/>
                <w:color w:val="auto"/>
                <w:szCs w:val="21"/>
                <w:highlight w:val="none"/>
                <w:lang w:val="en-US" w:eastAsia="zh-CN"/>
              </w:rPr>
              <w:t xml:space="preserve">：</w:t>
            </w:r>
            <w:r/>
          </w:p>
          <w:p>
            <w:pPr>
              <w:spacing w:line="40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作业流程规范、频次标准明确、工作部署条理清晰、管控逻辑科学、措施详实具体、贴合现场实际，可常态化落地执行，具备很强可行性与实操性</w:t>
            </w:r>
            <w:r>
              <w:rPr>
                <w:rFonts w:hint="eastAsia" w:ascii="宋体" w:hAnsi="宋体" w:cs="宋体"/>
                <w:color w:val="auto"/>
                <w:szCs w:val="21"/>
                <w:highlight w:val="none"/>
                <w:lang w:val="en-US" w:eastAsia="zh-CN"/>
              </w:rPr>
              <w:t xml:space="preserve">的得5分；</w:t>
            </w:r>
            <w:r/>
          </w:p>
          <w:p>
            <w:pPr>
              <w:spacing w:line="40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作业流程</w:t>
            </w:r>
            <w:r>
              <w:rPr>
                <w:rFonts w:hint="eastAsia" w:ascii="宋体" w:hAnsi="宋体" w:cs="宋体"/>
                <w:color w:val="auto"/>
                <w:szCs w:val="21"/>
                <w:highlight w:val="none"/>
                <w:lang w:val="en-US" w:eastAsia="zh-CN"/>
              </w:rPr>
              <w:t xml:space="preserve">基本</w:t>
            </w:r>
            <w:r>
              <w:rPr>
                <w:rFonts w:hint="eastAsia" w:ascii="宋体" w:hAnsi="宋体" w:eastAsia="宋体" w:cs="宋体"/>
                <w:color w:val="auto"/>
                <w:szCs w:val="21"/>
                <w:highlight w:val="none"/>
                <w:lang w:val="en-US" w:eastAsia="zh-CN"/>
              </w:rPr>
              <w:t xml:space="preserve">规范、频次标准</w:t>
            </w:r>
            <w:r>
              <w:rPr>
                <w:rFonts w:hint="eastAsia" w:ascii="宋体" w:hAnsi="宋体" w:cs="宋体"/>
                <w:color w:val="auto"/>
                <w:szCs w:val="21"/>
                <w:highlight w:val="none"/>
                <w:lang w:val="en-US" w:eastAsia="zh-CN"/>
              </w:rPr>
              <w:t xml:space="preserve">基本</w:t>
            </w:r>
            <w:r>
              <w:rPr>
                <w:rFonts w:hint="eastAsia" w:ascii="宋体" w:hAnsi="宋体" w:eastAsia="宋体" w:cs="宋体"/>
                <w:color w:val="auto"/>
                <w:szCs w:val="21"/>
                <w:highlight w:val="none"/>
                <w:lang w:val="en-US" w:eastAsia="zh-CN"/>
              </w:rPr>
              <w:t xml:space="preserve">明确、工作部署条理</w:t>
            </w:r>
            <w:r>
              <w:rPr>
                <w:rFonts w:hint="eastAsia" w:ascii="宋体" w:hAnsi="宋体" w:cs="宋体"/>
                <w:color w:val="auto"/>
                <w:szCs w:val="21"/>
                <w:highlight w:val="none"/>
                <w:lang w:val="en-US" w:eastAsia="zh-CN"/>
              </w:rPr>
              <w:t xml:space="preserve">基本</w:t>
            </w:r>
            <w:r>
              <w:rPr>
                <w:rFonts w:hint="eastAsia" w:ascii="宋体" w:hAnsi="宋体" w:eastAsia="宋体" w:cs="宋体"/>
                <w:color w:val="auto"/>
                <w:szCs w:val="21"/>
                <w:highlight w:val="none"/>
                <w:lang w:val="en-US" w:eastAsia="zh-CN"/>
              </w:rPr>
              <w:t xml:space="preserve">清晰、管控逻辑</w:t>
            </w:r>
            <w:r>
              <w:rPr>
                <w:rFonts w:hint="eastAsia" w:ascii="宋体" w:hAnsi="宋体" w:cs="宋体"/>
                <w:color w:val="auto"/>
                <w:szCs w:val="21"/>
                <w:highlight w:val="none"/>
                <w:lang w:val="en-US" w:eastAsia="zh-CN"/>
              </w:rPr>
              <w:t xml:space="preserve">基本</w:t>
            </w:r>
            <w:r>
              <w:rPr>
                <w:rFonts w:hint="eastAsia" w:ascii="宋体" w:hAnsi="宋体" w:eastAsia="宋体" w:cs="宋体"/>
                <w:color w:val="auto"/>
                <w:szCs w:val="21"/>
                <w:highlight w:val="none"/>
                <w:lang w:val="en-US" w:eastAsia="zh-CN"/>
              </w:rPr>
              <w:t xml:space="preserve">科学、措施</w:t>
            </w:r>
            <w:r>
              <w:rPr>
                <w:rFonts w:hint="eastAsia" w:ascii="宋体" w:hAnsi="宋体" w:cs="宋体"/>
                <w:color w:val="auto"/>
                <w:szCs w:val="21"/>
                <w:highlight w:val="none"/>
                <w:lang w:val="en-US" w:eastAsia="zh-CN"/>
              </w:rPr>
              <w:t xml:space="preserve">较为</w:t>
            </w:r>
            <w:r>
              <w:rPr>
                <w:rFonts w:hint="eastAsia" w:ascii="宋体" w:hAnsi="宋体" w:eastAsia="宋体" w:cs="宋体"/>
                <w:color w:val="auto"/>
                <w:szCs w:val="21"/>
                <w:highlight w:val="none"/>
                <w:lang w:val="en-US" w:eastAsia="zh-CN"/>
              </w:rPr>
              <w:t xml:space="preserve">详实具体、</w:t>
            </w:r>
            <w:r>
              <w:rPr>
                <w:rFonts w:hint="eastAsia" w:ascii="宋体" w:hAnsi="宋体" w:cs="宋体"/>
                <w:color w:val="auto"/>
                <w:szCs w:val="21"/>
                <w:highlight w:val="none"/>
                <w:lang w:val="en-US" w:eastAsia="zh-CN"/>
              </w:rPr>
              <w:t xml:space="preserve">比较</w:t>
            </w:r>
            <w:r>
              <w:rPr>
                <w:rFonts w:hint="eastAsia" w:ascii="宋体" w:hAnsi="宋体" w:eastAsia="宋体" w:cs="宋体"/>
                <w:color w:val="auto"/>
                <w:szCs w:val="21"/>
                <w:highlight w:val="none"/>
                <w:lang w:val="en-US" w:eastAsia="zh-CN"/>
              </w:rPr>
              <w:t xml:space="preserve">贴合现场实际，可行性与实操性</w:t>
            </w:r>
            <w:r>
              <w:rPr>
                <w:rFonts w:hint="eastAsia" w:ascii="宋体" w:hAnsi="宋体" w:cs="宋体"/>
                <w:color w:val="auto"/>
                <w:szCs w:val="21"/>
                <w:highlight w:val="none"/>
                <w:lang w:val="en-US" w:eastAsia="zh-CN"/>
              </w:rPr>
              <w:t xml:space="preserve">较强的得3分；</w:t>
            </w:r>
            <w:r/>
          </w:p>
          <w:p>
            <w:pPr>
              <w:spacing w:line="40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作业流程</w:t>
            </w:r>
            <w:r>
              <w:rPr>
                <w:rFonts w:hint="eastAsia" w:ascii="宋体" w:hAnsi="宋体" w:cs="宋体"/>
                <w:color w:val="auto"/>
                <w:szCs w:val="21"/>
                <w:highlight w:val="none"/>
                <w:lang w:val="en-US" w:eastAsia="zh-CN"/>
              </w:rPr>
              <w:t xml:space="preserve">不够</w:t>
            </w:r>
            <w:r>
              <w:rPr>
                <w:rFonts w:hint="eastAsia" w:ascii="宋体" w:hAnsi="宋体" w:eastAsia="宋体" w:cs="宋体"/>
                <w:color w:val="auto"/>
                <w:szCs w:val="21"/>
                <w:highlight w:val="none"/>
                <w:lang w:val="en-US" w:eastAsia="zh-CN"/>
              </w:rPr>
              <w:t xml:space="preserve">规范、频次标准</w:t>
            </w:r>
            <w:r>
              <w:rPr>
                <w:rFonts w:hint="eastAsia" w:ascii="宋体" w:hAnsi="宋体" w:cs="宋体"/>
                <w:color w:val="auto"/>
                <w:szCs w:val="21"/>
                <w:highlight w:val="none"/>
                <w:lang w:val="en-US" w:eastAsia="zh-CN"/>
              </w:rPr>
              <w:t xml:space="preserve">不清晰</w:t>
            </w:r>
            <w:r>
              <w:rPr>
                <w:rFonts w:hint="eastAsia" w:ascii="宋体" w:hAnsi="宋体" w:eastAsia="宋体" w:cs="宋体"/>
                <w:color w:val="auto"/>
                <w:szCs w:val="21"/>
                <w:highlight w:val="none"/>
                <w:lang w:val="en-US" w:eastAsia="zh-CN"/>
              </w:rPr>
              <w:t xml:space="preserve">、工作部署条理</w:t>
            </w:r>
            <w:r>
              <w:rPr>
                <w:rFonts w:hint="eastAsia" w:ascii="宋体" w:hAnsi="宋体" w:cs="宋体"/>
                <w:color w:val="auto"/>
                <w:szCs w:val="21"/>
                <w:highlight w:val="none"/>
                <w:lang w:val="en-US" w:eastAsia="zh-CN"/>
              </w:rPr>
              <w:t xml:space="preserve">不够</w:t>
            </w:r>
            <w:r>
              <w:rPr>
                <w:rFonts w:hint="eastAsia" w:ascii="宋体" w:hAnsi="宋体" w:eastAsia="宋体" w:cs="宋体"/>
                <w:color w:val="auto"/>
                <w:szCs w:val="21"/>
                <w:highlight w:val="none"/>
                <w:lang w:val="en-US" w:eastAsia="zh-CN"/>
              </w:rPr>
              <w:t xml:space="preserve">清晰、管控逻辑</w:t>
            </w:r>
            <w:r>
              <w:rPr>
                <w:rFonts w:hint="eastAsia" w:ascii="宋体" w:hAnsi="宋体" w:cs="宋体"/>
                <w:color w:val="auto"/>
                <w:szCs w:val="21"/>
                <w:highlight w:val="none"/>
                <w:lang w:val="en-US" w:eastAsia="zh-CN"/>
              </w:rPr>
              <w:t xml:space="preserve">不够</w:t>
            </w:r>
            <w:r>
              <w:rPr>
                <w:rFonts w:hint="eastAsia" w:ascii="宋体" w:hAnsi="宋体" w:eastAsia="宋体" w:cs="宋体"/>
                <w:color w:val="auto"/>
                <w:szCs w:val="21"/>
                <w:highlight w:val="none"/>
                <w:lang w:val="en-US" w:eastAsia="zh-CN"/>
              </w:rPr>
              <w:t xml:space="preserve">科学、措施</w:t>
            </w:r>
            <w:r>
              <w:rPr>
                <w:rFonts w:hint="eastAsia" w:ascii="宋体" w:hAnsi="宋体" w:cs="宋体"/>
                <w:color w:val="auto"/>
                <w:szCs w:val="21"/>
                <w:highlight w:val="none"/>
                <w:lang w:val="en-US" w:eastAsia="zh-CN"/>
              </w:rPr>
              <w:t xml:space="preserve">不够详细、</w:t>
            </w:r>
            <w:r>
              <w:rPr>
                <w:rFonts w:hint="eastAsia" w:ascii="宋体" w:hAnsi="宋体" w:eastAsia="宋体" w:cs="宋体"/>
                <w:color w:val="auto"/>
                <w:szCs w:val="21"/>
                <w:highlight w:val="none"/>
                <w:lang w:val="en-US" w:eastAsia="zh-CN"/>
              </w:rPr>
              <w:t xml:space="preserve">可行性与实操性</w:t>
            </w:r>
            <w:r>
              <w:rPr>
                <w:rFonts w:hint="eastAsia" w:ascii="宋体" w:hAnsi="宋体" w:cs="宋体"/>
                <w:color w:val="auto"/>
                <w:szCs w:val="21"/>
                <w:highlight w:val="none"/>
                <w:lang w:val="en-US" w:eastAsia="zh-CN"/>
              </w:rPr>
              <w:t xml:space="preserve">较弱的得1分；</w:t>
            </w:r>
            <w:r/>
          </w:p>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未提供不得分。</w:t>
            </w:r>
            <w:r/>
          </w:p>
        </w:tc>
      </w:tr>
      <w:tr>
        <w:trPr>
          <w:jc w:val="center"/>
          <w:trHeight w:val="744"/>
        </w:trPr>
        <w:tc>
          <w:tcPr>
            <w:tcW w:w="622" w:type="dxa"/>
            <w:vAlign w:val="center"/>
            <w:vMerge w:val="restart"/>
            <w:textDirection w:val="lrTb"/>
            <w:noWrap w:val="false"/>
          </w:tcPr>
          <w:p>
            <w:pPr>
              <w:jc w:val="center"/>
              <w:spacing w:line="24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3.3</w:t>
            </w:r>
            <w:r/>
          </w:p>
        </w:tc>
        <w:tc>
          <w:tcPr>
            <w:tcW w:w="850" w:type="dxa"/>
            <w:vAlign w:val="center"/>
            <w:vMerge w:val="restart"/>
            <w:textDirection w:val="lrTb"/>
            <w:noWrap w:val="false"/>
          </w:tcPr>
          <w:p>
            <w:pPr>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机械作业方案</w:t>
            </w:r>
            <w:r/>
          </w:p>
        </w:tc>
        <w:tc>
          <w:tcPr>
            <w:shd w:val="clear" w:color="auto" w:fill="auto"/>
            <w:tcW w:w="837" w:type="dxa"/>
            <w:vAlign w:val="center"/>
            <w:textDirection w:val="lrTb"/>
            <w:noWrap w:val="false"/>
          </w:tcPr>
          <w:p>
            <w:pPr>
              <w:jc w:val="center"/>
              <w:spacing w:line="24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w:t>
            </w:r>
            <w:r/>
          </w:p>
        </w:tc>
        <w:tc>
          <w:tcPr>
            <w:shd w:val="clear" w:color="auto" w:fill="auto"/>
            <w:tcW w:w="6034" w:type="dxa"/>
            <w:vAlign w:val="center"/>
            <w:textDirection w:val="lrTb"/>
            <w:noWrap w:val="false"/>
          </w:tcPr>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（1）机械化车辆排班、作业时间表编制。表中须至少包含司机排班、休息、每日作业时间、车辆保养等信息。车辆、司机若未明确，可用编号代替。</w:t>
            </w:r>
            <w:r/>
          </w:p>
          <w:p>
            <w:pPr>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整体表格编制体系完整、编排逻辑清晰、人员与车辆匹配合理、运维管理思路科学规范，作业计划、排班轮休、车辆保养统筹兼顾，安排详实具体、贴合实际运营需求，落地性强、可长期常态化执行</w:t>
            </w:r>
            <w:r>
              <w:rPr>
                <w:rFonts w:hint="eastAsia" w:ascii="宋体" w:hAnsi="宋体" w:cs="宋体"/>
                <w:color w:val="auto"/>
                <w:szCs w:val="21"/>
                <w:highlight w:val="none"/>
                <w:lang w:val="en-US" w:eastAsia="zh-CN"/>
              </w:rPr>
              <w:t xml:space="preserve">的得5分；</w:t>
            </w:r>
            <w:r/>
          </w:p>
          <w:p>
            <w:pPr>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整体表格编制体系</w:t>
            </w:r>
            <w:r>
              <w:rPr>
                <w:rFonts w:hint="eastAsia" w:ascii="宋体" w:hAnsi="宋体" w:cs="宋体"/>
                <w:color w:val="auto"/>
                <w:szCs w:val="21"/>
                <w:highlight w:val="none"/>
                <w:lang w:val="en-US" w:eastAsia="zh-CN"/>
              </w:rPr>
              <w:t xml:space="preserve">较</w:t>
            </w:r>
            <w:r>
              <w:rPr>
                <w:rFonts w:hint="eastAsia" w:ascii="宋体" w:hAnsi="宋体" w:eastAsia="宋体" w:cs="宋体"/>
                <w:color w:val="auto"/>
                <w:szCs w:val="21"/>
                <w:highlight w:val="none"/>
                <w:lang w:val="en-US" w:eastAsia="zh-CN"/>
              </w:rPr>
              <w:t xml:space="preserve">完整、编排逻辑</w:t>
            </w:r>
            <w:r>
              <w:rPr>
                <w:rFonts w:hint="eastAsia" w:ascii="宋体" w:hAnsi="宋体" w:cs="宋体"/>
                <w:color w:val="auto"/>
                <w:szCs w:val="21"/>
                <w:highlight w:val="none"/>
                <w:lang w:val="en-US" w:eastAsia="zh-CN"/>
              </w:rPr>
              <w:t xml:space="preserve">较</w:t>
            </w:r>
            <w:r>
              <w:rPr>
                <w:rFonts w:hint="eastAsia" w:ascii="宋体" w:hAnsi="宋体" w:eastAsia="宋体" w:cs="宋体"/>
                <w:color w:val="auto"/>
                <w:szCs w:val="21"/>
                <w:highlight w:val="none"/>
                <w:lang w:val="en-US" w:eastAsia="zh-CN"/>
              </w:rPr>
              <w:t xml:space="preserve">清晰、人员与车辆匹配</w:t>
            </w:r>
            <w:r>
              <w:rPr>
                <w:rFonts w:hint="eastAsia" w:ascii="宋体" w:hAnsi="宋体" w:cs="宋体"/>
                <w:color w:val="auto"/>
                <w:szCs w:val="21"/>
                <w:highlight w:val="none"/>
                <w:lang w:val="en-US" w:eastAsia="zh-CN"/>
              </w:rPr>
              <w:t xml:space="preserve">基本</w:t>
            </w:r>
            <w:r>
              <w:rPr>
                <w:rFonts w:hint="eastAsia" w:ascii="宋体" w:hAnsi="宋体" w:eastAsia="宋体" w:cs="宋体"/>
                <w:color w:val="auto"/>
                <w:szCs w:val="21"/>
                <w:highlight w:val="none"/>
                <w:lang w:val="en-US" w:eastAsia="zh-CN"/>
              </w:rPr>
              <w:t xml:space="preserve">合理、运维管理思路</w:t>
            </w:r>
            <w:r>
              <w:rPr>
                <w:rFonts w:hint="eastAsia" w:ascii="宋体" w:hAnsi="宋体" w:cs="宋体"/>
                <w:color w:val="auto"/>
                <w:szCs w:val="21"/>
                <w:highlight w:val="none"/>
                <w:lang w:val="en-US" w:eastAsia="zh-CN"/>
              </w:rPr>
              <w:t xml:space="preserve">较</w:t>
            </w:r>
            <w:r>
              <w:rPr>
                <w:rFonts w:hint="eastAsia" w:ascii="宋体" w:hAnsi="宋体" w:eastAsia="宋体" w:cs="宋体"/>
                <w:color w:val="auto"/>
                <w:szCs w:val="21"/>
                <w:highlight w:val="none"/>
                <w:lang w:val="en-US" w:eastAsia="zh-CN"/>
              </w:rPr>
              <w:t xml:space="preserve">科学，作业计划、排班轮休、车辆保养统筹</w:t>
            </w:r>
            <w:r>
              <w:rPr>
                <w:rFonts w:hint="eastAsia" w:ascii="宋体" w:hAnsi="宋体" w:cs="宋体"/>
                <w:color w:val="auto"/>
                <w:szCs w:val="21"/>
                <w:highlight w:val="none"/>
                <w:lang w:val="en-US" w:eastAsia="zh-CN"/>
              </w:rPr>
              <w:t xml:space="preserve">较为合理</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基本</w:t>
            </w:r>
            <w:r>
              <w:rPr>
                <w:rFonts w:hint="eastAsia" w:ascii="宋体" w:hAnsi="宋体" w:eastAsia="宋体" w:cs="宋体"/>
                <w:color w:val="auto"/>
                <w:szCs w:val="21"/>
                <w:highlight w:val="none"/>
                <w:lang w:val="en-US" w:eastAsia="zh-CN"/>
              </w:rPr>
              <w:t xml:space="preserve">贴合实际运营需求，可行性与实操性</w:t>
            </w:r>
            <w:r>
              <w:rPr>
                <w:rFonts w:hint="eastAsia" w:ascii="宋体" w:hAnsi="宋体" w:cs="宋体"/>
                <w:color w:val="auto"/>
                <w:szCs w:val="21"/>
                <w:highlight w:val="none"/>
                <w:lang w:val="en-US" w:eastAsia="zh-CN"/>
              </w:rPr>
              <w:t xml:space="preserve">较强的得3分；</w:t>
            </w:r>
            <w:r/>
          </w:p>
          <w:p>
            <w:pPr>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整体表格编制体系</w:t>
            </w:r>
            <w:r>
              <w:rPr>
                <w:rFonts w:hint="eastAsia" w:ascii="宋体" w:hAnsi="宋体" w:cs="宋体"/>
                <w:color w:val="auto"/>
                <w:szCs w:val="21"/>
                <w:highlight w:val="none"/>
                <w:lang w:val="en-US" w:eastAsia="zh-CN"/>
              </w:rPr>
              <w:t xml:space="preserve">不够</w:t>
            </w:r>
            <w:r>
              <w:rPr>
                <w:rFonts w:hint="eastAsia" w:ascii="宋体" w:hAnsi="宋体" w:eastAsia="宋体" w:cs="宋体"/>
                <w:color w:val="auto"/>
                <w:szCs w:val="21"/>
                <w:highlight w:val="none"/>
                <w:lang w:val="en-US" w:eastAsia="zh-CN"/>
              </w:rPr>
              <w:t xml:space="preserve">完整、编排逻辑</w:t>
            </w:r>
            <w:r>
              <w:rPr>
                <w:rFonts w:hint="eastAsia" w:ascii="宋体" w:hAnsi="宋体" w:cs="宋体"/>
                <w:color w:val="auto"/>
                <w:szCs w:val="21"/>
                <w:highlight w:val="none"/>
                <w:lang w:val="en-US" w:eastAsia="zh-CN"/>
              </w:rPr>
              <w:t xml:space="preserve">不够</w:t>
            </w:r>
            <w:r>
              <w:rPr>
                <w:rFonts w:hint="eastAsia" w:ascii="宋体" w:hAnsi="宋体" w:eastAsia="宋体" w:cs="宋体"/>
                <w:color w:val="auto"/>
                <w:szCs w:val="21"/>
                <w:highlight w:val="none"/>
                <w:lang w:val="en-US" w:eastAsia="zh-CN"/>
              </w:rPr>
              <w:t xml:space="preserve">清晰、人员与车辆匹配</w:t>
            </w:r>
            <w:r>
              <w:rPr>
                <w:rFonts w:hint="eastAsia" w:ascii="宋体" w:hAnsi="宋体" w:cs="宋体"/>
                <w:color w:val="auto"/>
                <w:szCs w:val="21"/>
                <w:highlight w:val="none"/>
                <w:lang w:val="en-US" w:eastAsia="zh-CN"/>
              </w:rPr>
              <w:t xml:space="preserve">不够</w:t>
            </w:r>
            <w:r>
              <w:rPr>
                <w:rFonts w:hint="eastAsia" w:ascii="宋体" w:hAnsi="宋体" w:eastAsia="宋体" w:cs="宋体"/>
                <w:color w:val="auto"/>
                <w:szCs w:val="21"/>
                <w:highlight w:val="none"/>
                <w:lang w:val="en-US" w:eastAsia="zh-CN"/>
              </w:rPr>
              <w:t xml:space="preserve">合理</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作业计划、排班轮休、车辆保养统筹</w:t>
            </w:r>
            <w:r>
              <w:rPr>
                <w:rFonts w:hint="eastAsia" w:ascii="宋体" w:hAnsi="宋体" w:cs="宋体"/>
                <w:color w:val="auto"/>
                <w:szCs w:val="21"/>
                <w:highlight w:val="none"/>
                <w:lang w:val="en-US" w:eastAsia="zh-CN"/>
              </w:rPr>
              <w:t xml:space="preserve">等</w:t>
            </w:r>
            <w:r>
              <w:rPr>
                <w:rFonts w:hint="eastAsia" w:ascii="宋体" w:hAnsi="宋体" w:eastAsia="宋体" w:cs="宋体"/>
                <w:color w:val="auto"/>
                <w:szCs w:val="21"/>
                <w:highlight w:val="none"/>
                <w:lang w:val="en-US" w:eastAsia="zh-CN"/>
              </w:rPr>
              <w:t xml:space="preserve">可行性与实操性</w:t>
            </w:r>
            <w:r>
              <w:rPr>
                <w:rFonts w:hint="eastAsia" w:ascii="宋体" w:hAnsi="宋体" w:cs="宋体"/>
                <w:color w:val="auto"/>
                <w:szCs w:val="21"/>
                <w:highlight w:val="none"/>
                <w:lang w:val="en-US" w:eastAsia="zh-CN"/>
              </w:rPr>
              <w:t xml:space="preserve">较弱的得1分；</w:t>
            </w:r>
            <w:r/>
          </w:p>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未提供不得分。</w:t>
            </w:r>
            <w:r/>
          </w:p>
        </w:tc>
      </w:tr>
      <w:tr>
        <w:trPr>
          <w:jc w:val="center"/>
          <w:trHeight w:val="416"/>
        </w:trPr>
        <w:tc>
          <w:tcPr>
            <w:tcW w:w="622" w:type="dxa"/>
            <w:vAlign w:val="center"/>
            <w:vMerge w:val="continue"/>
            <w:textDirection w:val="lrTb"/>
            <w:noWrap w:val="false"/>
          </w:tcPr>
          <w:p>
            <w:pPr>
              <w:jc w:val="center"/>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center"/>
            <w:vMerge w:val="continue"/>
            <w:textDirection w:val="lrTb"/>
            <w:noWrap w:val="false"/>
          </w:tcPr>
          <w:p>
            <w:pPr>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W w:w="837" w:type="dxa"/>
            <w:vAlign w:val="center"/>
            <w:textDirection w:val="lrTb"/>
            <w:noWrap w:val="false"/>
          </w:tcPr>
          <w:p>
            <w:pPr>
              <w:jc w:val="center"/>
              <w:spacing w:line="24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分</w:t>
            </w:r>
            <w:r/>
          </w:p>
        </w:tc>
        <w:tc>
          <w:tcPr>
            <w:shd w:val="clear" w:color="auto" w:fill="auto"/>
            <w:tcW w:w="6034" w:type="dxa"/>
            <w:vAlign w:val="center"/>
            <w:textDirection w:val="lrTb"/>
            <w:noWrap w:val="false"/>
          </w:tcPr>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（2）机械化车辆作业路线安排。根据道路情况，绘（编写）出每辆车作业路线分布图（表）。</w:t>
            </w:r>
            <w:r/>
          </w:p>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作业路线</w:t>
            </w:r>
            <w:r>
              <w:rPr>
                <w:rFonts w:hint="eastAsia" w:ascii="宋体" w:hAnsi="宋体" w:cs="宋体"/>
                <w:color w:val="auto"/>
                <w:szCs w:val="21"/>
                <w:highlight w:val="none"/>
                <w:lang w:val="en-US" w:eastAsia="zh-CN"/>
              </w:rPr>
              <w:t xml:space="preserve">安排</w:t>
            </w:r>
            <w:r>
              <w:rPr>
                <w:rFonts w:hint="eastAsia" w:ascii="宋体" w:hAnsi="宋体" w:eastAsia="宋体" w:cs="宋体"/>
                <w:color w:val="auto"/>
                <w:szCs w:val="21"/>
                <w:highlight w:val="none"/>
                <w:lang w:val="en-US" w:eastAsia="zh-CN"/>
              </w:rPr>
              <w:t xml:space="preserve">贴合现场道路交通状况与日常运维节奏，整体路线规划全面完善、布局规整、调配科学、路径合理，可行性与实操性</w:t>
            </w:r>
            <w:r>
              <w:rPr>
                <w:rFonts w:hint="eastAsia" w:ascii="宋体" w:hAnsi="宋体" w:cs="宋体"/>
                <w:color w:val="auto"/>
                <w:szCs w:val="21"/>
                <w:highlight w:val="none"/>
                <w:lang w:val="en-US" w:eastAsia="zh-CN"/>
              </w:rPr>
              <w:t xml:space="preserve">强的得6分；</w:t>
            </w:r>
            <w:r/>
          </w:p>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作业路线</w:t>
            </w:r>
            <w:r>
              <w:rPr>
                <w:rFonts w:hint="eastAsia" w:ascii="宋体" w:hAnsi="宋体" w:cs="宋体"/>
                <w:color w:val="auto"/>
                <w:szCs w:val="21"/>
                <w:highlight w:val="none"/>
                <w:lang w:val="en-US" w:eastAsia="zh-CN"/>
              </w:rPr>
              <w:t xml:space="preserve">安排基本</w:t>
            </w:r>
            <w:r>
              <w:rPr>
                <w:rFonts w:hint="eastAsia" w:ascii="宋体" w:hAnsi="宋体" w:eastAsia="宋体" w:cs="宋体"/>
                <w:color w:val="auto"/>
                <w:szCs w:val="21"/>
                <w:highlight w:val="none"/>
                <w:lang w:val="en-US" w:eastAsia="zh-CN"/>
              </w:rPr>
              <w:t xml:space="preserve">贴合现场道路交通状况与日常运维节奏，整体路线规划</w:t>
            </w:r>
            <w:r>
              <w:rPr>
                <w:rFonts w:hint="eastAsia" w:ascii="宋体" w:hAnsi="宋体" w:cs="宋体"/>
                <w:color w:val="auto"/>
                <w:szCs w:val="21"/>
                <w:highlight w:val="none"/>
                <w:lang w:val="en-US" w:eastAsia="zh-CN"/>
              </w:rPr>
              <w:t xml:space="preserve">基本</w:t>
            </w:r>
            <w:r>
              <w:rPr>
                <w:rFonts w:hint="eastAsia" w:ascii="宋体" w:hAnsi="宋体" w:eastAsia="宋体" w:cs="宋体"/>
                <w:color w:val="auto"/>
                <w:szCs w:val="21"/>
                <w:highlight w:val="none"/>
                <w:lang w:val="en-US" w:eastAsia="zh-CN"/>
              </w:rPr>
              <w:t xml:space="preserve">完善、布局规整、调配科学、路径</w:t>
            </w:r>
            <w:r>
              <w:rPr>
                <w:rFonts w:hint="eastAsia" w:ascii="宋体" w:hAnsi="宋体" w:cs="宋体"/>
                <w:color w:val="auto"/>
                <w:szCs w:val="21"/>
                <w:highlight w:val="none"/>
                <w:lang w:val="en-US" w:eastAsia="zh-CN"/>
              </w:rPr>
              <w:t xml:space="preserve">基本</w:t>
            </w:r>
            <w:r>
              <w:rPr>
                <w:rFonts w:hint="eastAsia" w:ascii="宋体" w:hAnsi="宋体" w:eastAsia="宋体" w:cs="宋体"/>
                <w:color w:val="auto"/>
                <w:szCs w:val="21"/>
                <w:highlight w:val="none"/>
                <w:lang w:val="en-US" w:eastAsia="zh-CN"/>
              </w:rPr>
              <w:t xml:space="preserve">合理，可行性与实操性</w:t>
            </w:r>
            <w:r>
              <w:rPr>
                <w:rFonts w:hint="eastAsia" w:ascii="宋体" w:hAnsi="宋体" w:cs="宋体"/>
                <w:color w:val="auto"/>
                <w:szCs w:val="21"/>
                <w:highlight w:val="none"/>
                <w:lang w:val="en-US" w:eastAsia="zh-CN"/>
              </w:rPr>
              <w:t xml:space="preserve">较强的得4分；</w:t>
            </w:r>
            <w:r/>
          </w:p>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作业路线</w:t>
            </w:r>
            <w:r>
              <w:rPr>
                <w:rFonts w:hint="eastAsia" w:ascii="宋体" w:hAnsi="宋体" w:cs="宋体"/>
                <w:color w:val="auto"/>
                <w:szCs w:val="21"/>
                <w:highlight w:val="none"/>
                <w:lang w:val="en-US" w:eastAsia="zh-CN"/>
              </w:rPr>
              <w:t xml:space="preserve">安排与</w:t>
            </w:r>
            <w:r>
              <w:rPr>
                <w:rFonts w:hint="eastAsia" w:ascii="宋体" w:hAnsi="宋体" w:eastAsia="宋体" w:cs="宋体"/>
                <w:color w:val="auto"/>
                <w:szCs w:val="21"/>
                <w:highlight w:val="none"/>
                <w:lang w:val="en-US" w:eastAsia="zh-CN"/>
              </w:rPr>
              <w:t xml:space="preserve">现场道路交通状况</w:t>
            </w:r>
            <w:r>
              <w:rPr>
                <w:rFonts w:hint="eastAsia" w:ascii="宋体" w:hAnsi="宋体" w:cs="宋体"/>
                <w:color w:val="auto"/>
                <w:szCs w:val="21"/>
                <w:highlight w:val="none"/>
                <w:lang w:val="en-US" w:eastAsia="zh-CN"/>
              </w:rPr>
              <w:t xml:space="preserve">不相符，</w:t>
            </w:r>
            <w:r>
              <w:rPr>
                <w:rFonts w:hint="eastAsia" w:ascii="宋体" w:hAnsi="宋体" w:eastAsia="宋体" w:cs="宋体"/>
                <w:color w:val="auto"/>
                <w:szCs w:val="21"/>
                <w:highlight w:val="none"/>
                <w:lang w:val="en-US" w:eastAsia="zh-CN"/>
              </w:rPr>
              <w:t xml:space="preserve">日常运维节奏，整体路线规划</w:t>
            </w:r>
            <w:r>
              <w:rPr>
                <w:rFonts w:hint="eastAsia" w:ascii="宋体" w:hAnsi="宋体" w:cs="宋体"/>
                <w:color w:val="auto"/>
                <w:szCs w:val="21"/>
                <w:highlight w:val="none"/>
                <w:lang w:val="en-US" w:eastAsia="zh-CN"/>
              </w:rPr>
              <w:t xml:space="preserve">不够</w:t>
            </w:r>
            <w:r>
              <w:rPr>
                <w:rFonts w:hint="eastAsia" w:ascii="宋体" w:hAnsi="宋体" w:eastAsia="宋体" w:cs="宋体"/>
                <w:color w:val="auto"/>
                <w:szCs w:val="21"/>
                <w:highlight w:val="none"/>
                <w:lang w:val="en-US" w:eastAsia="zh-CN"/>
              </w:rPr>
              <w:t xml:space="preserve">完善、布局规整、调配科学、路径</w:t>
            </w:r>
            <w:r>
              <w:rPr>
                <w:rFonts w:hint="eastAsia" w:ascii="宋体" w:hAnsi="宋体" w:cs="宋体"/>
                <w:color w:val="auto"/>
                <w:szCs w:val="21"/>
                <w:highlight w:val="none"/>
                <w:lang w:val="en-US" w:eastAsia="zh-CN"/>
              </w:rPr>
              <w:t xml:space="preserve">不够</w:t>
            </w:r>
            <w:r>
              <w:rPr>
                <w:rFonts w:hint="eastAsia" w:ascii="宋体" w:hAnsi="宋体" w:eastAsia="宋体" w:cs="宋体"/>
                <w:color w:val="auto"/>
                <w:szCs w:val="21"/>
                <w:highlight w:val="none"/>
                <w:lang w:val="en-US" w:eastAsia="zh-CN"/>
              </w:rPr>
              <w:t xml:space="preserve">合理，可行性与实操性</w:t>
            </w:r>
            <w:r>
              <w:rPr>
                <w:rFonts w:hint="eastAsia" w:ascii="宋体" w:hAnsi="宋体" w:cs="宋体"/>
                <w:color w:val="auto"/>
                <w:szCs w:val="21"/>
                <w:highlight w:val="none"/>
                <w:lang w:val="en-US" w:eastAsia="zh-CN"/>
              </w:rPr>
              <w:t xml:space="preserve">较弱的得2分；</w:t>
            </w:r>
            <w:r/>
          </w:p>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未提供不得分。</w:t>
            </w:r>
            <w:r/>
          </w:p>
        </w:tc>
      </w:tr>
      <w:tr>
        <w:trPr>
          <w:jc w:val="center"/>
          <w:trHeight w:val="393"/>
        </w:trPr>
        <w:tc>
          <w:tcPr>
            <w:tcW w:w="622" w:type="dxa"/>
            <w:vAlign w:val="center"/>
            <w:textDirection w:val="lrTb"/>
            <w:noWrap w:val="false"/>
          </w:tcPr>
          <w:p>
            <w:pPr>
              <w:jc w:val="center"/>
              <w:spacing w:line="24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3.4</w:t>
            </w:r>
            <w:r/>
          </w:p>
        </w:tc>
        <w:tc>
          <w:tcPr>
            <w:shd w:val="clear" w:color="auto" w:fill="auto"/>
            <w:tcW w:w="850"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本项目进退场方案</w:t>
            </w:r>
            <w:r/>
          </w:p>
        </w:tc>
        <w:tc>
          <w:tcPr>
            <w:shd w:val="clear" w:color="auto" w:fill="auto"/>
            <w:tcW w:w="837" w:type="dxa"/>
            <w:vAlign w:val="center"/>
            <w:textDirection w:val="lrTb"/>
            <w:noWrap w:val="false"/>
          </w:tcPr>
          <w:p>
            <w:pPr>
              <w:jc w:val="center"/>
              <w:spacing w:line="240" w:lineRule="auto"/>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分</w:t>
            </w:r>
            <w:r/>
          </w:p>
        </w:tc>
        <w:tc>
          <w:tcPr>
            <w:shd w:val="clear" w:color="auto" w:fill="auto"/>
            <w:tcW w:w="6034" w:type="dxa"/>
            <w:vAlign w:val="center"/>
            <w:textDirection w:val="lrTb"/>
            <w:noWrap w:val="false"/>
          </w:tcPr>
          <w:p>
            <w:pPr>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供应商</w:t>
            </w:r>
            <w:r>
              <w:rPr>
                <w:rFonts w:hint="eastAsia" w:ascii="宋体" w:hAnsi="宋体" w:eastAsia="宋体" w:cs="宋体"/>
                <w:color w:val="auto"/>
                <w:szCs w:val="21"/>
                <w:highlight w:val="none"/>
                <w:lang w:val="en-US" w:eastAsia="zh-CN"/>
              </w:rPr>
              <w:t xml:space="preserve">制定本项目进退场方案。</w:t>
            </w:r>
            <w:r/>
          </w:p>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方案流程环节完整、衔接流程周密，进场部署有序、退场移交规范，服务保障措施全面到位，可操作性强</w:t>
            </w:r>
            <w:r>
              <w:rPr>
                <w:rFonts w:hint="eastAsia" w:ascii="宋体" w:hAnsi="宋体" w:cs="宋体"/>
                <w:color w:val="auto"/>
                <w:szCs w:val="21"/>
                <w:highlight w:val="none"/>
                <w:lang w:val="en-US" w:eastAsia="zh-CN"/>
              </w:rPr>
              <w:t xml:space="preserve">的得6分；</w:t>
            </w:r>
            <w:r/>
          </w:p>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方案流程</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衔接流程</w:t>
            </w:r>
            <w:r>
              <w:rPr>
                <w:rFonts w:hint="eastAsia" w:ascii="宋体" w:hAnsi="宋体" w:cs="宋体"/>
                <w:color w:val="auto"/>
                <w:szCs w:val="21"/>
                <w:highlight w:val="none"/>
                <w:lang w:val="en-US" w:eastAsia="zh-CN"/>
              </w:rPr>
              <w:t xml:space="preserve">基本</w:t>
            </w:r>
            <w:r>
              <w:rPr>
                <w:rFonts w:hint="eastAsia" w:ascii="宋体" w:hAnsi="宋体" w:eastAsia="宋体" w:cs="宋体"/>
                <w:color w:val="auto"/>
                <w:szCs w:val="21"/>
                <w:highlight w:val="none"/>
                <w:lang w:val="en-US" w:eastAsia="zh-CN"/>
              </w:rPr>
              <w:t xml:space="preserve">完整，进场部署</w:t>
            </w:r>
            <w:r>
              <w:rPr>
                <w:rFonts w:hint="eastAsia" w:ascii="宋体" w:hAnsi="宋体" w:cs="宋体"/>
                <w:color w:val="auto"/>
                <w:szCs w:val="21"/>
                <w:highlight w:val="none"/>
                <w:lang w:val="en-US" w:eastAsia="zh-CN"/>
              </w:rPr>
              <w:t xml:space="preserve">基本</w:t>
            </w:r>
            <w:r>
              <w:rPr>
                <w:rFonts w:hint="eastAsia" w:ascii="宋体" w:hAnsi="宋体" w:eastAsia="宋体" w:cs="宋体"/>
                <w:color w:val="auto"/>
                <w:szCs w:val="21"/>
                <w:highlight w:val="none"/>
                <w:lang w:val="en-US" w:eastAsia="zh-CN"/>
              </w:rPr>
              <w:t xml:space="preserve">有序、退场移交</w:t>
            </w:r>
            <w:r>
              <w:rPr>
                <w:rFonts w:hint="eastAsia" w:ascii="宋体" w:hAnsi="宋体" w:cs="宋体"/>
                <w:color w:val="auto"/>
                <w:szCs w:val="21"/>
                <w:highlight w:val="none"/>
                <w:lang w:val="en-US" w:eastAsia="zh-CN"/>
              </w:rPr>
              <w:t xml:space="preserve">基本</w:t>
            </w:r>
            <w:r>
              <w:rPr>
                <w:rFonts w:hint="eastAsia" w:ascii="宋体" w:hAnsi="宋体" w:eastAsia="宋体" w:cs="宋体"/>
                <w:color w:val="auto"/>
                <w:szCs w:val="21"/>
                <w:highlight w:val="none"/>
                <w:lang w:val="en-US" w:eastAsia="zh-CN"/>
              </w:rPr>
              <w:t xml:space="preserve">规范，服务保障措施</w:t>
            </w:r>
            <w:r>
              <w:rPr>
                <w:rFonts w:hint="eastAsia" w:ascii="宋体" w:hAnsi="宋体" w:cs="宋体"/>
                <w:color w:val="auto"/>
                <w:szCs w:val="21"/>
                <w:highlight w:val="none"/>
                <w:lang w:val="en-US" w:eastAsia="zh-CN"/>
              </w:rPr>
              <w:t xml:space="preserve">基本完善</w:t>
            </w:r>
            <w:r>
              <w:rPr>
                <w:rFonts w:hint="eastAsia" w:ascii="宋体" w:hAnsi="宋体" w:eastAsia="宋体" w:cs="宋体"/>
                <w:color w:val="auto"/>
                <w:szCs w:val="21"/>
                <w:highlight w:val="none"/>
                <w:lang w:val="en-US" w:eastAsia="zh-CN"/>
              </w:rPr>
              <w:t xml:space="preserve">，可操作性</w:t>
            </w:r>
            <w:r>
              <w:rPr>
                <w:rFonts w:hint="eastAsia" w:ascii="宋体" w:hAnsi="宋体" w:cs="宋体"/>
                <w:color w:val="auto"/>
                <w:szCs w:val="21"/>
                <w:highlight w:val="none"/>
                <w:lang w:val="en-US" w:eastAsia="zh-CN"/>
              </w:rPr>
              <w:t xml:space="preserve">较强的得4分；</w:t>
            </w:r>
            <w:r/>
          </w:p>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方案流程</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lang w:val="en-US" w:eastAsia="zh-CN"/>
              </w:rPr>
              <w:t xml:space="preserve">衔接流程</w:t>
            </w:r>
            <w:r>
              <w:rPr>
                <w:rFonts w:hint="eastAsia" w:ascii="宋体" w:hAnsi="宋体" w:cs="宋体"/>
                <w:color w:val="auto"/>
                <w:szCs w:val="21"/>
                <w:highlight w:val="none"/>
                <w:lang w:val="en-US" w:eastAsia="zh-CN"/>
              </w:rPr>
              <w:t xml:space="preserve">不够</w:t>
            </w:r>
            <w:r>
              <w:rPr>
                <w:rFonts w:hint="eastAsia" w:ascii="宋体" w:hAnsi="宋体" w:eastAsia="宋体" w:cs="宋体"/>
                <w:color w:val="auto"/>
                <w:szCs w:val="21"/>
                <w:highlight w:val="none"/>
                <w:lang w:val="en-US" w:eastAsia="zh-CN"/>
              </w:rPr>
              <w:t xml:space="preserve">完整，进场部署、退场移交</w:t>
            </w:r>
            <w:r>
              <w:rPr>
                <w:rFonts w:hint="eastAsia" w:ascii="宋体" w:hAnsi="宋体" w:cs="宋体"/>
                <w:color w:val="auto"/>
                <w:szCs w:val="21"/>
                <w:highlight w:val="none"/>
                <w:lang w:val="en-US" w:eastAsia="zh-CN"/>
              </w:rPr>
              <w:t xml:space="preserve">不够规范完整</w:t>
            </w:r>
            <w:r>
              <w:rPr>
                <w:rFonts w:hint="eastAsia" w:ascii="宋体" w:hAnsi="宋体" w:eastAsia="宋体" w:cs="宋体"/>
                <w:color w:val="auto"/>
                <w:szCs w:val="21"/>
                <w:highlight w:val="none"/>
                <w:lang w:val="en-US" w:eastAsia="zh-CN"/>
              </w:rPr>
              <w:t xml:space="preserve">，服务保障措施</w:t>
            </w:r>
            <w:r>
              <w:rPr>
                <w:rFonts w:hint="eastAsia" w:ascii="宋体" w:hAnsi="宋体" w:cs="宋体"/>
                <w:color w:val="auto"/>
                <w:szCs w:val="21"/>
                <w:highlight w:val="none"/>
                <w:lang w:val="en-US" w:eastAsia="zh-CN"/>
              </w:rPr>
              <w:t xml:space="preserve">不够完善</w:t>
            </w:r>
            <w:r>
              <w:rPr>
                <w:rFonts w:hint="eastAsia" w:ascii="宋体" w:hAnsi="宋体" w:eastAsia="宋体" w:cs="宋体"/>
                <w:color w:val="auto"/>
                <w:szCs w:val="21"/>
                <w:highlight w:val="none"/>
                <w:lang w:val="en-US" w:eastAsia="zh-CN"/>
              </w:rPr>
              <w:t xml:space="preserve">，可操作性</w:t>
            </w:r>
            <w:r>
              <w:rPr>
                <w:rFonts w:hint="eastAsia" w:ascii="宋体" w:hAnsi="宋体" w:cs="宋体"/>
                <w:color w:val="auto"/>
                <w:szCs w:val="21"/>
                <w:highlight w:val="none"/>
                <w:lang w:val="en-US" w:eastAsia="zh-CN"/>
              </w:rPr>
              <w:t xml:space="preserve">较弱的得2分；</w:t>
            </w:r>
            <w:r/>
          </w:p>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未提供不得分。</w:t>
            </w:r>
            <w:r/>
          </w:p>
        </w:tc>
      </w:tr>
      <w:tr>
        <w:trPr>
          <w:jc w:val="center"/>
          <w:trHeight w:val="90"/>
        </w:trPr>
        <w:tc>
          <w:tcPr>
            <w:tcW w:w="622" w:type="dxa"/>
            <w:vAlign w:val="center"/>
            <w:textDirection w:val="lrTb"/>
            <w:noWrap w:val="false"/>
          </w:tcPr>
          <w:p>
            <w:pPr>
              <w:jc w:val="center"/>
              <w:spacing w:line="24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3.5</w:t>
            </w:r>
            <w:r/>
          </w:p>
        </w:tc>
        <w:tc>
          <w:tcPr>
            <w:tcW w:w="850" w:type="dxa"/>
            <w:vAlign w:val="center"/>
            <w:textDirection w:val="lrTb"/>
            <w:noWrap w:val="false"/>
          </w:tcPr>
          <w:p>
            <w:pPr>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应急</w:t>
            </w:r>
            <w:r/>
          </w:p>
          <w:p>
            <w:pPr>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预案</w:t>
            </w:r>
            <w:r/>
          </w:p>
        </w:tc>
        <w:tc>
          <w:tcPr>
            <w:tcW w:w="837" w:type="dxa"/>
            <w:vAlign w:val="center"/>
            <w:textDirection w:val="lrTb"/>
            <w:noWrap w:val="false"/>
          </w:tcPr>
          <w:p>
            <w:pPr>
              <w:jc w:val="center"/>
              <w:spacing w:line="24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10分</w:t>
            </w:r>
            <w:r/>
          </w:p>
        </w:tc>
        <w:tc>
          <w:tcPr>
            <w:tcW w:w="6034" w:type="dxa"/>
            <w:vAlign w:val="center"/>
            <w:textDirection w:val="lrTb"/>
            <w:noWrap w:val="false"/>
          </w:tcPr>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应急预案包含《重大活动保障应急预案》、《特殊季节性清扫保洁应急预案》、《铲雪除冰应急预案》、《台风暴雨等恶劣天气应急预案》、《交通事故现场处理应急预案》等内容。</w:t>
            </w:r>
            <w:r/>
          </w:p>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针对服务过程中可能发生的突发事件应急处理制定应急预案，预案完备健全，针对性强，可实施性强的，得10分；</w:t>
            </w:r>
            <w:r/>
          </w:p>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针对服务过程中可能发生的突发事件应急处理制定应急预案，预案较完备，针对性较强，可实施性较强的，得7分；</w:t>
            </w:r>
            <w:r/>
          </w:p>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针对服务过程中可能发生的突发事件应急处理制定应急预案，预案不完善或可实施性差的，得4分；</w:t>
            </w:r>
            <w:r/>
          </w:p>
          <w:p>
            <w:pPr>
              <w:spacing w:line="400" w:lineRule="exact"/>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未提供不得分。</w:t>
            </w:r>
            <w:r/>
          </w:p>
        </w:tc>
      </w:tr>
      <w:tr>
        <w:trPr>
          <w:jc w:val="center"/>
          <w:trHeight w:val="703"/>
        </w:trPr>
        <w:tc>
          <w:tcPr>
            <w:tcW w:w="622" w:type="dxa"/>
            <w:vAlign w:val="center"/>
            <w:textDirection w:val="lrTb"/>
            <w:noWrap w:val="false"/>
          </w:tcPr>
          <w:p>
            <w:pPr>
              <w:jc w:val="center"/>
              <w:spacing w:line="24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3.6</w:t>
            </w:r>
            <w:r/>
          </w:p>
        </w:tc>
        <w:tc>
          <w:tcPr>
            <w:tcW w:w="850" w:type="dxa"/>
            <w:vAlign w:val="center"/>
            <w:textDirection w:val="lrTb"/>
            <w:noWrap w:val="false"/>
          </w:tcPr>
          <w:p>
            <w:pPr>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安全作业方案</w:t>
            </w:r>
            <w:r/>
          </w:p>
        </w:tc>
        <w:tc>
          <w:tcPr>
            <w:tcW w:w="837" w:type="dxa"/>
            <w:vAlign w:val="center"/>
            <w:textDirection w:val="lrTb"/>
            <w:noWrap w:val="false"/>
          </w:tcPr>
          <w:p>
            <w:pPr>
              <w:jc w:val="center"/>
              <w:spacing w:line="24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10分</w:t>
            </w:r>
            <w:r/>
          </w:p>
        </w:tc>
        <w:tc>
          <w:tcPr>
            <w:tcW w:w="6034" w:type="dxa"/>
            <w:vAlign w:val="center"/>
            <w:textDirection w:val="lrTb"/>
            <w:noWrap w:val="false"/>
          </w:tcPr>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供应商制定安全作业方案，包括安全制度、安全措施、事故预防措施、安全培训、安全检查要求等。</w:t>
            </w:r>
            <w:r/>
          </w:p>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整体</w:t>
            </w:r>
            <w:r>
              <w:rPr>
                <w:rFonts w:hint="eastAsia" w:ascii="宋体" w:hAnsi="宋体" w:cs="宋体"/>
                <w:color w:val="auto"/>
                <w:szCs w:val="21"/>
                <w:highlight w:val="none"/>
                <w:lang w:val="en-US" w:eastAsia="zh-CN"/>
              </w:rPr>
              <w:t xml:space="preserve">方案</w:t>
            </w:r>
            <w:r>
              <w:rPr>
                <w:rFonts w:hint="eastAsia" w:ascii="宋体" w:hAnsi="宋体" w:eastAsia="宋体" w:cs="宋体"/>
                <w:color w:val="auto"/>
                <w:szCs w:val="21"/>
                <w:highlight w:val="none"/>
                <w:lang w:val="en-US" w:eastAsia="zh-CN"/>
              </w:rPr>
              <w:t xml:space="preserve">编制思路清晰、管控逻辑严谨、条款切合环卫作业实际，各项安全管理举措部署科学合理、可操作性强</w:t>
            </w:r>
            <w:r>
              <w:rPr>
                <w:rFonts w:hint="eastAsia" w:ascii="宋体" w:hAnsi="宋体" w:cs="宋体"/>
                <w:color w:val="auto"/>
                <w:szCs w:val="21"/>
                <w:highlight w:val="none"/>
                <w:lang w:val="en-US" w:eastAsia="zh-CN"/>
              </w:rPr>
              <w:t xml:space="preserve">的得10分；</w:t>
            </w:r>
            <w:r/>
          </w:p>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整体</w:t>
            </w:r>
            <w:r>
              <w:rPr>
                <w:rFonts w:hint="eastAsia" w:ascii="宋体" w:hAnsi="宋体" w:cs="宋体"/>
                <w:color w:val="auto"/>
                <w:szCs w:val="21"/>
                <w:highlight w:val="none"/>
                <w:lang w:val="en-US" w:eastAsia="zh-CN"/>
              </w:rPr>
              <w:t xml:space="preserve">方案</w:t>
            </w:r>
            <w:r>
              <w:rPr>
                <w:rFonts w:hint="eastAsia" w:ascii="宋体" w:hAnsi="宋体" w:eastAsia="宋体" w:cs="宋体"/>
                <w:color w:val="auto"/>
                <w:szCs w:val="21"/>
                <w:highlight w:val="none"/>
                <w:lang w:val="en-US" w:eastAsia="zh-CN"/>
              </w:rPr>
              <w:t xml:space="preserve">编制思路</w:t>
            </w:r>
            <w:r>
              <w:rPr>
                <w:rFonts w:hint="eastAsia" w:ascii="宋体" w:hAnsi="宋体" w:cs="宋体"/>
                <w:color w:val="auto"/>
                <w:szCs w:val="21"/>
                <w:highlight w:val="none"/>
                <w:lang w:val="en-US" w:eastAsia="zh-CN"/>
              </w:rPr>
              <w:t xml:space="preserve">基本</w:t>
            </w:r>
            <w:r>
              <w:rPr>
                <w:rFonts w:hint="eastAsia" w:ascii="宋体" w:hAnsi="宋体" w:eastAsia="宋体" w:cs="宋体"/>
                <w:color w:val="auto"/>
                <w:szCs w:val="21"/>
                <w:highlight w:val="none"/>
                <w:lang w:val="en-US" w:eastAsia="zh-CN"/>
              </w:rPr>
              <w:t xml:space="preserve">清晰、管控逻辑</w:t>
            </w:r>
            <w:r>
              <w:rPr>
                <w:rFonts w:hint="eastAsia" w:ascii="宋体" w:hAnsi="宋体" w:cs="宋体"/>
                <w:color w:val="auto"/>
                <w:szCs w:val="21"/>
                <w:highlight w:val="none"/>
                <w:lang w:val="en-US" w:eastAsia="zh-CN"/>
              </w:rPr>
              <w:t xml:space="preserve">基本完整</w:t>
            </w:r>
            <w:r>
              <w:rPr>
                <w:rFonts w:hint="eastAsia" w:ascii="宋体" w:hAnsi="宋体" w:eastAsia="宋体" w:cs="宋体"/>
                <w:color w:val="auto"/>
                <w:szCs w:val="21"/>
                <w:highlight w:val="none"/>
                <w:lang w:val="en-US" w:eastAsia="zh-CN"/>
              </w:rPr>
              <w:t xml:space="preserve">、条款</w:t>
            </w:r>
            <w:r>
              <w:rPr>
                <w:rFonts w:hint="eastAsia" w:ascii="宋体" w:hAnsi="宋体" w:cs="宋体"/>
                <w:color w:val="auto"/>
                <w:szCs w:val="21"/>
                <w:highlight w:val="none"/>
                <w:lang w:val="en-US" w:eastAsia="zh-CN"/>
              </w:rPr>
              <w:t xml:space="preserve">与</w:t>
            </w:r>
            <w:r>
              <w:rPr>
                <w:rFonts w:hint="eastAsia" w:ascii="宋体" w:hAnsi="宋体" w:eastAsia="宋体" w:cs="宋体"/>
                <w:color w:val="auto"/>
                <w:szCs w:val="21"/>
                <w:highlight w:val="none"/>
                <w:lang w:val="en-US" w:eastAsia="zh-CN"/>
              </w:rPr>
              <w:t xml:space="preserve">环卫作业实际</w:t>
            </w:r>
            <w:r>
              <w:rPr>
                <w:rFonts w:hint="eastAsia" w:ascii="宋体" w:hAnsi="宋体" w:cs="宋体"/>
                <w:color w:val="auto"/>
                <w:szCs w:val="21"/>
                <w:highlight w:val="none"/>
                <w:lang w:val="en-US" w:eastAsia="zh-CN"/>
              </w:rPr>
              <w:t xml:space="preserve">比较贴合</w:t>
            </w:r>
            <w:r>
              <w:rPr>
                <w:rFonts w:hint="eastAsia" w:ascii="宋体" w:hAnsi="宋体" w:eastAsia="宋体" w:cs="宋体"/>
                <w:color w:val="auto"/>
                <w:szCs w:val="21"/>
                <w:highlight w:val="none"/>
                <w:lang w:val="en-US" w:eastAsia="zh-CN"/>
              </w:rPr>
              <w:t xml:space="preserve">，各项安全管理举措部署</w:t>
            </w:r>
            <w:r>
              <w:rPr>
                <w:rFonts w:hint="eastAsia" w:ascii="宋体" w:hAnsi="宋体" w:cs="宋体"/>
                <w:color w:val="auto"/>
                <w:szCs w:val="21"/>
                <w:highlight w:val="none"/>
                <w:lang w:val="en-US" w:eastAsia="zh-CN"/>
              </w:rPr>
              <w:t xml:space="preserve">基本</w:t>
            </w:r>
            <w:r>
              <w:rPr>
                <w:rFonts w:hint="eastAsia" w:ascii="宋体" w:hAnsi="宋体" w:eastAsia="宋体" w:cs="宋体"/>
                <w:color w:val="auto"/>
                <w:szCs w:val="21"/>
                <w:highlight w:val="none"/>
                <w:lang w:val="en-US" w:eastAsia="zh-CN"/>
              </w:rPr>
              <w:t xml:space="preserve">科学合理、可操作性</w:t>
            </w:r>
            <w:r>
              <w:rPr>
                <w:rFonts w:hint="eastAsia" w:ascii="宋体" w:hAnsi="宋体" w:cs="宋体"/>
                <w:color w:val="auto"/>
                <w:szCs w:val="21"/>
                <w:highlight w:val="none"/>
                <w:lang w:val="en-US" w:eastAsia="zh-CN"/>
              </w:rPr>
              <w:t xml:space="preserve">较</w:t>
            </w:r>
            <w:r>
              <w:rPr>
                <w:rFonts w:hint="eastAsia" w:ascii="宋体" w:hAnsi="宋体" w:eastAsia="宋体" w:cs="宋体"/>
                <w:color w:val="auto"/>
                <w:szCs w:val="21"/>
                <w:highlight w:val="none"/>
                <w:lang w:val="en-US" w:eastAsia="zh-CN"/>
              </w:rPr>
              <w:t xml:space="preserve">强</w:t>
            </w:r>
            <w:r>
              <w:rPr>
                <w:rFonts w:hint="eastAsia" w:ascii="宋体" w:hAnsi="宋体" w:cs="宋体"/>
                <w:color w:val="auto"/>
                <w:szCs w:val="21"/>
                <w:highlight w:val="none"/>
                <w:lang w:val="en-US" w:eastAsia="zh-CN"/>
              </w:rPr>
              <w:t xml:space="preserve">的得7分；</w:t>
            </w:r>
            <w:r/>
          </w:p>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整体</w:t>
            </w:r>
            <w:r>
              <w:rPr>
                <w:rFonts w:hint="eastAsia" w:ascii="宋体" w:hAnsi="宋体" w:cs="宋体"/>
                <w:color w:val="auto"/>
                <w:szCs w:val="21"/>
                <w:highlight w:val="none"/>
                <w:lang w:val="en-US" w:eastAsia="zh-CN"/>
              </w:rPr>
              <w:t xml:space="preserve">方案</w:t>
            </w:r>
            <w:r>
              <w:rPr>
                <w:rFonts w:hint="eastAsia" w:ascii="宋体" w:hAnsi="宋体" w:eastAsia="宋体" w:cs="宋体"/>
                <w:color w:val="auto"/>
                <w:szCs w:val="21"/>
                <w:highlight w:val="none"/>
                <w:lang w:val="en-US" w:eastAsia="zh-CN"/>
              </w:rPr>
              <w:t xml:space="preserve">编制思路</w:t>
            </w:r>
            <w:r>
              <w:rPr>
                <w:rFonts w:hint="eastAsia" w:ascii="宋体" w:hAnsi="宋体" w:cs="宋体"/>
                <w:color w:val="auto"/>
                <w:szCs w:val="21"/>
                <w:highlight w:val="none"/>
                <w:lang w:val="en-US" w:eastAsia="zh-CN"/>
              </w:rPr>
              <w:t xml:space="preserve">不够</w:t>
            </w:r>
            <w:r>
              <w:rPr>
                <w:rFonts w:hint="eastAsia" w:ascii="宋体" w:hAnsi="宋体" w:eastAsia="宋体" w:cs="宋体"/>
                <w:color w:val="auto"/>
                <w:szCs w:val="21"/>
                <w:highlight w:val="none"/>
                <w:lang w:val="en-US" w:eastAsia="zh-CN"/>
              </w:rPr>
              <w:t xml:space="preserve">清晰、管控逻辑</w:t>
            </w:r>
            <w:r>
              <w:rPr>
                <w:rFonts w:hint="eastAsia" w:ascii="宋体" w:hAnsi="宋体" w:cs="宋体"/>
                <w:color w:val="auto"/>
                <w:szCs w:val="21"/>
                <w:highlight w:val="none"/>
                <w:lang w:val="en-US" w:eastAsia="zh-CN"/>
              </w:rPr>
              <w:t xml:space="preserve">不够完整</w:t>
            </w:r>
            <w:r>
              <w:rPr>
                <w:rFonts w:hint="eastAsia" w:ascii="宋体" w:hAnsi="宋体" w:eastAsia="宋体" w:cs="宋体"/>
                <w:color w:val="auto"/>
                <w:szCs w:val="21"/>
                <w:highlight w:val="none"/>
                <w:lang w:val="en-US" w:eastAsia="zh-CN"/>
              </w:rPr>
              <w:t xml:space="preserve">、条款</w:t>
            </w:r>
            <w:r>
              <w:rPr>
                <w:rFonts w:hint="eastAsia" w:ascii="宋体" w:hAnsi="宋体" w:cs="宋体"/>
                <w:color w:val="auto"/>
                <w:szCs w:val="21"/>
                <w:highlight w:val="none"/>
                <w:lang w:val="en-US" w:eastAsia="zh-CN"/>
              </w:rPr>
              <w:t xml:space="preserve">与</w:t>
            </w:r>
            <w:r>
              <w:rPr>
                <w:rFonts w:hint="eastAsia" w:ascii="宋体" w:hAnsi="宋体" w:eastAsia="宋体" w:cs="宋体"/>
                <w:color w:val="auto"/>
                <w:szCs w:val="21"/>
                <w:highlight w:val="none"/>
                <w:lang w:val="en-US" w:eastAsia="zh-CN"/>
              </w:rPr>
              <w:t xml:space="preserve">环卫作业实际</w:t>
            </w:r>
            <w:r>
              <w:rPr>
                <w:rFonts w:hint="eastAsia" w:ascii="宋体" w:hAnsi="宋体" w:cs="宋体"/>
                <w:color w:val="auto"/>
                <w:szCs w:val="21"/>
                <w:highlight w:val="none"/>
                <w:lang w:val="en-US" w:eastAsia="zh-CN"/>
              </w:rPr>
              <w:t xml:space="preserve">不够贴合</w:t>
            </w:r>
            <w:r>
              <w:rPr>
                <w:rFonts w:hint="eastAsia" w:ascii="宋体" w:hAnsi="宋体" w:eastAsia="宋体" w:cs="宋体"/>
                <w:color w:val="auto"/>
                <w:szCs w:val="21"/>
                <w:highlight w:val="none"/>
                <w:lang w:val="en-US" w:eastAsia="zh-CN"/>
              </w:rPr>
              <w:t xml:space="preserve">，各项安全管理举措部署</w:t>
            </w:r>
            <w:r>
              <w:rPr>
                <w:rFonts w:hint="eastAsia" w:ascii="宋体" w:hAnsi="宋体" w:cs="宋体"/>
                <w:color w:val="auto"/>
                <w:szCs w:val="21"/>
                <w:highlight w:val="none"/>
                <w:lang w:val="en-US" w:eastAsia="zh-CN"/>
              </w:rPr>
              <w:t xml:space="preserve">不够</w:t>
            </w:r>
            <w:r>
              <w:rPr>
                <w:rFonts w:hint="eastAsia" w:ascii="宋体" w:hAnsi="宋体" w:eastAsia="宋体" w:cs="宋体"/>
                <w:color w:val="auto"/>
                <w:szCs w:val="21"/>
                <w:highlight w:val="none"/>
                <w:lang w:val="en-US" w:eastAsia="zh-CN"/>
              </w:rPr>
              <w:t xml:space="preserve">科学合理、可操作性</w:t>
            </w:r>
            <w:r>
              <w:rPr>
                <w:rFonts w:hint="eastAsia" w:ascii="宋体" w:hAnsi="宋体" w:cs="宋体"/>
                <w:color w:val="auto"/>
                <w:szCs w:val="21"/>
                <w:highlight w:val="none"/>
                <w:lang w:val="en-US" w:eastAsia="zh-CN"/>
              </w:rPr>
              <w:t xml:space="preserve">较弱的得4分；</w:t>
            </w:r>
            <w:r/>
          </w:p>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未提供不得分。</w:t>
            </w:r>
            <w:r/>
          </w:p>
        </w:tc>
      </w:tr>
      <w:tr>
        <w:trPr>
          <w:jc w:val="center"/>
          <w:trHeight w:val="703"/>
        </w:trPr>
        <w:tc>
          <w:tcPr>
            <w:gridSpan w:val="4"/>
            <w:tcW w:w="8343" w:type="dxa"/>
            <w:vAlign w:val="center"/>
            <w:textDirection w:val="lrTb"/>
            <w:noWrap w:val="false"/>
          </w:tcPr>
          <w:p>
            <w:pPr>
              <w:spacing w:line="400" w:lineRule="exact"/>
              <w:rPr>
                <w:rFonts w:hint="eastAsia" w:ascii="宋体" w:hAnsi="宋体" w:eastAsia="宋体" w:cs="宋体"/>
                <w:color w:val="auto"/>
                <w:szCs w:val="21"/>
                <w:highlight w:val="none"/>
                <w:lang w:val="en-US" w:eastAsia="zh-CN"/>
              </w:rPr>
            </w:pPr>
            <w:r>
              <w:rPr>
                <w:rFonts w:hint="eastAsia" w:ascii="宋体" w:hAnsi="宋体" w:eastAsia="宋体" w:cs="宋体"/>
                <w:b/>
                <w:bCs/>
                <w:color w:val="auto"/>
                <w:sz w:val="22"/>
                <w:szCs w:val="22"/>
                <w:highlight w:val="none"/>
              </w:rPr>
              <w:t xml:space="preserve">注：3.1至3.6技术部分方案的总页数不得超过150页，否则每超过一页扣1分（扣分分值从“安全作业方案”分值中扣除，扣完为止）。</w:t>
            </w:r>
            <w:r/>
          </w:p>
        </w:tc>
      </w:tr>
    </w:tbl>
    <w:p>
      <w:pPr>
        <w:spacing w:line="40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注：</w:t>
      </w:r>
      <w:r/>
    </w:p>
    <w:p>
      <w:pPr>
        <w:ind w:firstLine="420"/>
        <w:keepLines w:val="0"/>
        <w:keepNext w:val="0"/>
        <w:pageBreakBefore w:val="0"/>
        <w:spacing w:line="520" w:lineRule="exact"/>
        <w:widowControl w:val="off"/>
        <w:rPr>
          <w:rFonts w:hint="eastAsia" w:ascii="宋体" w:hAnsi="宋体" w:eastAsia="宋体" w:cs="宋体"/>
          <w:b/>
          <w:color w:val="auto"/>
          <w:highlight w:val="none"/>
        </w:rPr>
      </w:pPr>
      <w:r>
        <w:rPr>
          <w:rFonts w:hint="eastAsia" w:ascii="宋体" w:hAnsi="宋体" w:eastAsia="宋体" w:cs="宋体"/>
          <w:color w:val="auto"/>
          <w:highlight w:val="none"/>
        </w:rPr>
        <w:t xml:space="preserve">1.以上评分标准中每一条，各供应商均应提供相关的资料并作出相应的对比供评分评判。</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2.响应文件中如出现前后不一致时，磋商小组有权请磋商供应商澄清说明，澄清说明事项涉及评分时，该项不得分。</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3.磋商供应商承诺所提供的商务、技术、业绩资料全部真实，如有伪造，视作磋商供应商自动放弃投标及成交资格，并视作磋商供应商自愿接受相关处罚。</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4.磋商报价超过最高限价的，不得进入评标程序。</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磋商小组认为磋商供应商的报价明显低于其他通过符合性检查磋商供应商的报价，有可能无法诚信履约的，磋商小组有权要求供应商提供书面证明材料。该供应商不能合理说明原因并提供证明材料，磋商小组有权将该供应商的响应文件作无效标处理。</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6.供应商应根据国家政策调整规律进行报价，充分考虑服务期内的市场因素和成本变化状况的风险。</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7.响应供应商应认真进行现场勘察工作，场地现状及限制性因素由响应供应商向采购人查询并自行勘察核实，供应商的响应行为视为已充分调查、了解、核实场地现状，并同意接受准备履约合同。</w:t>
      </w:r>
      <w:r/>
    </w:p>
    <w:p>
      <w:pPr>
        <w:ind w:firstLine="420"/>
        <w:keepLines w:val="0"/>
        <w:keepNext w:val="0"/>
        <w:pageBreakBefore w:val="0"/>
        <w:spacing w:line="52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w:t>
      </w:r>
      <w:r>
        <w:rPr>
          <w:rFonts w:hint="eastAsia" w:ascii="宋体" w:hAnsi="宋体" w:cs="宋体"/>
          <w:color w:val="auto"/>
          <w:highlight w:val="none"/>
          <w:lang w:val="en-US" w:eastAsia="zh-CN"/>
        </w:rPr>
        <w:t xml:space="preserve">.</w:t>
      </w:r>
      <w:r>
        <w:rPr>
          <w:rFonts w:hint="eastAsia" w:ascii="宋体" w:hAnsi="宋体" w:eastAsia="宋体" w:cs="宋体"/>
          <w:color w:val="auto"/>
          <w:highlight w:val="none"/>
        </w:rPr>
        <w:t xml:space="preserve">本办法未尽事宜，由磋商小组依据有关法规研究解决。</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868"/>
        <w:jc w:val="center"/>
        <w:keepNext w:val="0"/>
        <w:rPr>
          <w:rFonts w:hint="eastAsia" w:ascii="黑体" w:hAnsi="黑体" w:eastAsia="黑体" w:cs="黑体"/>
          <w:color w:val="auto"/>
          <w:sz w:val="32"/>
          <w:szCs w:val="32"/>
          <w:highlight w:val="none"/>
        </w:rPr>
      </w:pPr>
      <w:r/>
      <w:bookmarkStart w:id="120" w:name="_Toc29253"/>
      <w:r>
        <w:rPr>
          <w:rFonts w:hint="eastAsia" w:ascii="黑体" w:hAnsi="黑体" w:eastAsia="黑体" w:cs="黑体"/>
          <w:color w:val="auto"/>
          <w:sz w:val="32"/>
          <w:szCs w:val="32"/>
          <w:highlight w:val="none"/>
        </w:rPr>
        <w:t xml:space="preserve">第六章 响应文件的组成和格式</w:t>
      </w:r>
      <w:bookmarkEnd w:id="120"/>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响 应 文 件</w:t>
      </w:r>
      <w:r/>
    </w:p>
    <w:p>
      <w:pPr>
        <w:pStyle w:val="89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2"/>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892"/>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 </w:t>
      </w:r>
      <w:r/>
    </w:p>
    <w:p>
      <w:pPr>
        <w:pStyle w:val="892"/>
        <w:rPr>
          <w:rFonts w:hint="eastAsia" w:ascii="宋体" w:hAnsi="宋体" w:eastAsia="宋体" w:cs="宋体"/>
          <w:color w:val="auto"/>
          <w:highlight w:val="none"/>
        </w:rPr>
      </w:pPr>
      <w:r>
        <w:rPr>
          <w:rFonts w:hint="eastAsia" w:ascii="宋体" w:hAnsi="宋体" w:eastAsia="宋体" w:cs="宋体"/>
          <w:color w:val="auto"/>
          <w:highlight w:val="none"/>
        </w:rPr>
        <w:t xml:space="preserve">供应商名称 ：（加盖CA电子公章）</w:t>
      </w:r>
      <w:r/>
    </w:p>
    <w:p>
      <w:pPr>
        <w:pStyle w:val="892"/>
        <w:rPr>
          <w:rFonts w:hint="eastAsia" w:ascii="宋体" w:hAnsi="宋体" w:eastAsia="宋体" w:cs="宋体"/>
          <w:color w:val="auto"/>
          <w:sz w:val="21"/>
          <w:highlight w:val="none"/>
        </w:rPr>
      </w:pPr>
      <w:r>
        <w:rPr>
          <w:rFonts w:hint="eastAsia" w:ascii="宋体" w:hAnsi="宋体" w:eastAsia="宋体" w:cs="宋体"/>
          <w:color w:val="auto"/>
          <w:highlight w:val="none"/>
        </w:rPr>
        <w:t xml:space="preserve">日期 ：</w:t>
      </w:r>
      <w:r/>
    </w:p>
    <w:p>
      <w:pPr>
        <w:pStyle w:val="89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32"/>
          <w:szCs w:val="32"/>
          <w:highlight w:val="none"/>
        </w:rPr>
        <w:t xml:space="preserve">磋商报价表</w:t>
      </w:r>
      <w:r/>
    </w:p>
    <w:p>
      <w:pPr>
        <w:pStyle w:val="901"/>
        <w:ind w:firstLine="480"/>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01"/>
        <w:ind w:firstLine="0"/>
        <w:spacing w:before="0" w:after="0" w:line="24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本次为首次报价                          货币单位：人民币元</w:t>
      </w:r>
      <w:r/>
    </w:p>
    <w:p>
      <w:pPr>
        <w:pStyle w:val="901"/>
        <w:ind w:firstLine="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项目编号：        </w:t>
      </w:r>
      <w:r/>
    </w:p>
    <w:tbl>
      <w:tblPr>
        <w:tblStyle w:val="695"/>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173"/>
        <w:gridCol w:w="2406"/>
        <w:gridCol w:w="2937"/>
      </w:tblGrid>
      <w:tr>
        <w:trPr>
          <w:cantSplit/>
          <w:jc w:val="center"/>
          <w:trHeight w:val="1182"/>
        </w:trPr>
        <w:tc>
          <w:tcPr>
            <w:tcBorders>
              <w:top w:val="single" w:color="000000" w:sz="6" w:space="0"/>
            </w:tcBorders>
            <w:tcW w:w="3293" w:type="dxa"/>
            <w:vAlign w:val="center"/>
            <w:textDirection w:val="lrTb"/>
            <w:noWrap w:val="false"/>
          </w:tcPr>
          <w:p>
            <w:pPr>
              <w:pStyle w:val="88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000000" w:sz="6" w:space="0"/>
            </w:tcBorders>
            <w:tcW w:w="2509" w:type="dxa"/>
            <w:vAlign w:val="center"/>
            <w:textDirection w:val="lrTb"/>
            <w:noWrap w:val="false"/>
          </w:tcPr>
          <w:p>
            <w:pPr>
              <w:pStyle w:val="88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项目内容</w:t>
            </w:r>
            <w:r/>
          </w:p>
        </w:tc>
        <w:tc>
          <w:tcPr>
            <w:tcBorders>
              <w:top w:val="single" w:color="000000" w:sz="6" w:space="0"/>
              <w:right w:val="single" w:color="000000" w:sz="2" w:space="0"/>
            </w:tcBorders>
            <w:tcW w:w="3056" w:type="dxa"/>
            <w:vAlign w:val="center"/>
            <w:textDirection w:val="lrTb"/>
            <w:noWrap w:val="false"/>
          </w:tcPr>
          <w:p>
            <w:pPr>
              <w:pStyle w:val="88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总价（小写）</w:t>
            </w:r>
            <w:r/>
          </w:p>
        </w:tc>
      </w:tr>
      <w:tr>
        <w:trPr>
          <w:cantSplit/>
          <w:jc w:val="center"/>
          <w:trHeight w:val="1012"/>
        </w:trPr>
        <w:tc>
          <w:tcPr>
            <w:tcW w:w="3293" w:type="dxa"/>
            <w:vAlign w:val="center"/>
            <w:textDirection w:val="lrTb"/>
            <w:noWrap w:val="false"/>
          </w:tcPr>
          <w:p>
            <w:pPr>
              <w:pStyle w:val="88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09" w:type="dxa"/>
            <w:vAlign w:val="center"/>
            <w:textDirection w:val="lrTb"/>
            <w:noWrap w:val="false"/>
          </w:tcPr>
          <w:p>
            <w:pPr>
              <w:pStyle w:val="88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详见响应文件</w:t>
            </w:r>
            <w:r/>
          </w:p>
        </w:tc>
        <w:tc>
          <w:tcPr>
            <w:tcBorders>
              <w:right w:val="single" w:color="000000" w:sz="2" w:space="0"/>
            </w:tcBorders>
            <w:tcW w:w="3056" w:type="dxa"/>
            <w:vAlign w:val="center"/>
            <w:textDirection w:val="lrTb"/>
            <w:noWrap w:val="false"/>
          </w:tcPr>
          <w:p>
            <w:pPr>
              <w:pStyle w:val="88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1035"/>
        </w:trPr>
        <w:tc>
          <w:tcPr>
            <w:tcW w:w="3293" w:type="dxa"/>
            <w:vAlign w:val="center"/>
            <w:textDirection w:val="lrTb"/>
            <w:noWrap w:val="false"/>
          </w:tcPr>
          <w:p>
            <w:pPr>
              <w:pStyle w:val="88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总价（大写）：</w:t>
            </w:r>
            <w:r/>
          </w:p>
        </w:tc>
        <w:tc>
          <w:tcPr>
            <w:gridSpan w:val="2"/>
            <w:tcBorders>
              <w:right w:val="single" w:color="000000" w:sz="2" w:space="0"/>
            </w:tcBorders>
            <w:tcW w:w="5565" w:type="dxa"/>
            <w:vAlign w:val="center"/>
            <w:textDirection w:val="lrTb"/>
            <w:noWrap w:val="false"/>
          </w:tcPr>
          <w:p>
            <w:pPr>
              <w:pStyle w:val="88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901"/>
        <w:ind w:firstLine="42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1"/>
        <w:ind w:firstLine="42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供应商（电子签章）：</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附件1 ：</w:t>
      </w:r>
      <w:r/>
    </w:p>
    <w:p>
      <w:pPr>
        <w:jc w:val="center"/>
        <w:rPr>
          <w:rFonts w:hint="eastAsia" w:ascii="宋体" w:hAnsi="宋体" w:eastAsia="宋体" w:cs="宋体"/>
          <w:color w:val="auto"/>
          <w:sz w:val="32"/>
          <w:szCs w:val="32"/>
          <w:highlight w:val="none"/>
        </w:rPr>
      </w:pPr>
      <w:r/>
      <w:bookmarkStart w:id="121" w:name="_Toc541"/>
      <w:r>
        <w:rPr>
          <w:rFonts w:hint="eastAsia" w:ascii="宋体" w:hAnsi="宋体" w:eastAsia="宋体" w:cs="宋体"/>
          <w:color w:val="auto"/>
          <w:sz w:val="32"/>
          <w:szCs w:val="32"/>
          <w:highlight w:val="none"/>
        </w:rPr>
        <w:t xml:space="preserve">法定代表人资格证明书</w:t>
      </w:r>
      <w:bookmarkEnd w:id="121"/>
      <w:r/>
      <w:r/>
    </w:p>
    <w:p>
      <w:pPr>
        <w:pStyle w:val="89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（法定代表人姓名）在（供应商名称）处任（职务名称）职务，是（供应商名称）的法定代表人。</w:t>
      </w:r>
      <w:r/>
    </w:p>
    <w:p>
      <w:pPr>
        <w:pStyle w:val="890"/>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特此证明。</w:t>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t xml:space="preserve">供应商（加盖CA电子章）：</w:t>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法定代表人或法定代表人授权代表签字或盖章：</w:t>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法定代表人身份证复印件（正反两面均需复印，加盖公章）：</w:t>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695"/>
        <w:tblW w:w="9247"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20"/>
        <w:gridCol w:w="720"/>
        <w:gridCol w:w="4207"/>
      </w:tblGrid>
      <w:tr>
        <w:trPr>
          <w:trHeight w:val="2656"/>
        </w:trPr>
        <w:tc>
          <w:tcPr>
            <w:tcW w:w="4320" w:type="dxa"/>
            <w:vAlign w:val="top"/>
            <w:textDirection w:val="lrTb"/>
            <w:noWrap w:val="false"/>
          </w:tcPr>
          <w:p>
            <w:pPr>
              <w:pStyle w:val="87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法定代表人身份证正面复印件</w:t>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bottom w:val="none" w:color="000000" w:sz="4" w:space="0"/>
            </w:tcBorders>
            <w:tcW w:w="720" w:type="dxa"/>
            <w:vAlign w:val="top"/>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加</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盖</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CA</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电</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子</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章</w:t>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4207" w:type="dxa"/>
            <w:vAlign w:val="top"/>
            <w:textDirection w:val="lrTb"/>
            <w:noWrap w:val="false"/>
          </w:tcPr>
          <w:p>
            <w:pPr>
              <w:pStyle w:val="87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法定代表人身份证反面复印件</w:t>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t xml:space="preserve">说明：上述证明文件在响应文件中附有法定代表人身份证复印件（身份证两面均应复印，身份证复印件加盖公章）或护照复印件（供应商的法定代表人为外籍人士的，则提供护照复印件）时才能生效。</w:t>
      </w:r>
      <w:r/>
    </w:p>
    <w:p>
      <w:pPr>
        <w:pStyle w:val="876"/>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22" w:name="_Toc10173"/>
      <w:r/>
      <w:bookmarkStart w:id="123" w:name="_Toc3508"/>
      <w:r/>
      <w:bookmarkStart w:id="124" w:name="_Toc27742"/>
      <w:r/>
      <w:bookmarkStart w:id="125" w:name="_Toc7422"/>
      <w:r>
        <w:rPr>
          <w:rFonts w:hint="eastAsia" w:ascii="宋体" w:hAnsi="宋体" w:eastAsia="宋体" w:cs="宋体"/>
          <w:color w:val="auto"/>
          <w:sz w:val="24"/>
          <w:highlight w:val="none"/>
        </w:rPr>
        <w:t xml:space="preserve">附件2：</w:t>
      </w:r>
      <w:bookmarkEnd w:id="122"/>
      <w:r/>
      <w:bookmarkEnd w:id="123"/>
      <w:r/>
      <w:bookmarkEnd w:id="124"/>
      <w:r/>
      <w:bookmarkEnd w:id="125"/>
      <w:r>
        <w:rPr>
          <w:rFonts w:hint="eastAsia" w:ascii="宋体" w:hAnsi="宋体" w:eastAsia="宋体" w:cs="宋体"/>
          <w:color w:val="auto"/>
          <w:sz w:val="24"/>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32"/>
          <w:szCs w:val="32"/>
          <w:highlight w:val="none"/>
        </w:rPr>
      </w:pPr>
      <w:r/>
      <w:bookmarkStart w:id="126" w:name="_Toc30840"/>
      <w:r/>
      <w:bookmarkStart w:id="127" w:name="_Toc32139"/>
      <w:r/>
      <w:bookmarkStart w:id="128" w:name="_Toc24313"/>
      <w:r/>
      <w:bookmarkStart w:id="129" w:name="_Toc17493"/>
      <w:r>
        <w:rPr>
          <w:rFonts w:hint="eastAsia" w:ascii="宋体" w:hAnsi="宋体" w:eastAsia="宋体" w:cs="宋体"/>
          <w:color w:val="auto"/>
          <w:sz w:val="32"/>
          <w:szCs w:val="32"/>
          <w:highlight w:val="none"/>
        </w:rPr>
        <w:t xml:space="preserve">法定代表人授权委托书</w:t>
      </w:r>
      <w:bookmarkEnd w:id="126"/>
      <w:r/>
      <w:bookmarkEnd w:id="127"/>
      <w:r/>
      <w:bookmarkEnd w:id="128"/>
      <w:r/>
      <w:bookmarkEnd w:id="129"/>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江苏建泰工程项目管理有限公司</w:t>
      </w:r>
      <w:r>
        <w:rPr>
          <w:rFonts w:hint="eastAsia" w:ascii="宋体" w:hAnsi="宋体" w:eastAsia="宋体" w:cs="宋体"/>
          <w:color w:val="auto"/>
          <w:szCs w:val="21"/>
          <w:highlight w:val="none"/>
        </w:rPr>
        <w:t xml:space="preserve">：</w:t>
      </w:r>
      <w:r/>
    </w:p>
    <w:p>
      <w:pPr>
        <w:pStyle w:val="903"/>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本授权书声明：____________（供应商名称）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（法定代表人姓名）授权________（被授权人的姓名）为我方就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项目采购活动的合法代理人，以本公司名义全权处理一切与该项目采购有关的事务。</w:t>
      </w:r>
      <w:r/>
    </w:p>
    <w:p>
      <w:pPr>
        <w:pStyle w:val="903"/>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我公司（单位）对被授权代表的签名负全部责任。</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在撤销授权的书面通知送达你处以前，本授权书一直有效，被授权代表签署的所有文件（在授权书有效期内签署的）不因授权的撤销而失效。</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被授权代表情况：</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姓名：                       性别：                    电话：               </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授权代表身份证复印件（正反两面均需复印）（骑缝处加盖公章）：</w:t>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695"/>
        <w:tblW w:w="8145" w:type="dxa"/>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9"/>
        <w:gridCol w:w="709"/>
        <w:gridCol w:w="3827"/>
      </w:tblGrid>
      <w:tr>
        <w:trPr>
          <w:trHeight w:val="3874"/>
        </w:trPr>
        <w:tc>
          <w:tcPr>
            <w:tcW w:w="3609" w:type="dxa"/>
            <w:vAlign w:val="top"/>
            <w:textDirection w:val="lrTb"/>
            <w:noWrap w:val="false"/>
          </w:tcPr>
          <w:p>
            <w:pPr>
              <w:pStyle w:val="87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授权代表身份证正面复印件</w:t>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none" w:color="000000" w:sz="4" w:space="0"/>
              <w:bottom w:val="none" w:color="000000" w:sz="4" w:space="0"/>
            </w:tcBorders>
            <w:tcW w:w="709" w:type="dxa"/>
            <w:vAlign w:val="top"/>
            <w:textDirection w:val="lrTb"/>
            <w:noWrap w:val="false"/>
          </w:tcPr>
          <w:p>
            <w:pPr>
              <w:pStyle w:val="87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加</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盖</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CA</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电</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子</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章</w:t>
            </w:r>
            <w:r/>
          </w:p>
          <w:p>
            <w:pPr>
              <w:pStyle w:val="87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827" w:type="dxa"/>
            <w:vAlign w:val="top"/>
            <w:textDirection w:val="lrTb"/>
            <w:noWrap w:val="false"/>
          </w:tcPr>
          <w:p>
            <w:pPr>
              <w:pStyle w:val="87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授权代表身份证反面复印件</w:t>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t xml:space="preserve">说明：上述证明文件在响应文件中附有授权代表身份证复印件（身份证两面均应复印，身份证复印件加盖公章）时才能生效。</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t xml:space="preserve">供应商（加盖CA电子章）：</w:t>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法定代表人或法定代表人授权代表签字或盖章：</w:t>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30" w:name="_Toc22640"/>
      <w:r>
        <w:rPr>
          <w:rFonts w:hint="eastAsia" w:ascii="宋体" w:hAnsi="宋体" w:eastAsia="宋体" w:cs="宋体"/>
          <w:color w:val="auto"/>
          <w:highlight w:val="none"/>
        </w:rPr>
        <w:t xml:space="preserve">附件3 ：</w:t>
      </w:r>
      <w:bookmarkEnd w:id="130"/>
      <w:r/>
      <w:r/>
    </w:p>
    <w:p>
      <w:pPr>
        <w:pStyle w:val="9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3"/>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参加政府采购活动前 3 年内在经营活动中没有重大违法</w:t>
      </w:r>
      <w:r/>
    </w:p>
    <w:p>
      <w:pPr>
        <w:pStyle w:val="903"/>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记录的书面声明</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t xml:space="preserve">供应商（加盖CA电子章）：</w:t>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法定代表人或法定代表人授权代表签字或盖章：</w:t>
      </w:r>
      <w:r/>
    </w:p>
    <w:p>
      <w:pPr>
        <w:pStyle w:val="870"/>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31" w:name="_Toc14753"/>
      <w:r/>
      <w:bookmarkStart w:id="132" w:name="_Toc28534"/>
      <w:r/>
      <w:bookmarkStart w:id="133" w:name="_Toc3595"/>
      <w:r/>
      <w:bookmarkStart w:id="134" w:name="_Toc20864"/>
      <w:r>
        <w:rPr>
          <w:rFonts w:hint="eastAsia" w:ascii="宋体" w:hAnsi="宋体" w:eastAsia="宋体" w:cs="宋体"/>
          <w:color w:val="auto"/>
          <w:highlight w:val="none"/>
        </w:rPr>
        <w:t xml:space="preserve">附件4：</w:t>
      </w:r>
      <w:bookmarkEnd w:id="131"/>
      <w:r/>
      <w:bookmarkEnd w:id="132"/>
      <w:r/>
      <w:bookmarkEnd w:id="133"/>
      <w:r/>
      <w:bookmarkEnd w:id="134"/>
      <w:r>
        <w:rPr>
          <w:rFonts w:hint="eastAsia" w:ascii="宋体" w:hAnsi="宋体" w:eastAsia="宋体" w:cs="宋体"/>
          <w:color w:val="auto"/>
          <w:highlight w:val="none"/>
        </w:rPr>
        <w:t xml:space="preserve"> </w:t>
      </w:r>
      <w:r/>
    </w:p>
    <w:p>
      <w:pPr>
        <w:pStyle w:val="883"/>
        <w:jc w:val="center"/>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中小企业声明函 </w:t>
      </w:r>
      <w:r/>
    </w:p>
    <w:p>
      <w:pPr>
        <w:ind w:firstLine="42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（单位名称）的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
        </w:numPr>
        <w:ind w:firstLine="420"/>
        <w:jc w:val="left"/>
        <w:spacing w:line="360" w:lineRule="exact"/>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（标的名称） ，属于</w:t>
      </w:r>
      <w:r>
        <w:rPr>
          <w:rFonts w:hint="eastAsia" w:ascii="宋体" w:hAnsi="宋体" w:eastAsia="宋体" w:cs="宋体"/>
          <w:color w:val="auto"/>
          <w:highlight w:val="none"/>
          <w:u w:val="single"/>
        </w:rPr>
        <w:t xml:space="preserve"> 其他未列明行业  </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（企业名称），从业人员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（中型企业、 小型企业、微型企业）； </w:t>
      </w:r>
      <w:r/>
    </w:p>
    <w:p>
      <w:pPr>
        <w:numPr>
          <w:ilvl w:val="0"/>
          <w:numId w:val="1"/>
        </w:numPr>
        <w:ind w:firstLine="420"/>
        <w:jc w:val="left"/>
        <w:spacing w:line="360" w:lineRule="exact"/>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（标的名称） ，属于</w:t>
      </w:r>
      <w:r>
        <w:rPr>
          <w:rFonts w:hint="eastAsia" w:ascii="宋体" w:hAnsi="宋体" w:eastAsia="宋体" w:cs="宋体"/>
          <w:color w:val="auto"/>
          <w:highlight w:val="none"/>
          <w:u w:val="single"/>
        </w:rPr>
        <w:t xml:space="preserve"> 其他未列明行业  </w:t>
      </w:r>
      <w:r>
        <w:rPr>
          <w:rFonts w:hint="eastAsia" w:ascii="宋体" w:hAnsi="宋体" w:eastAsia="宋体" w:cs="宋体"/>
          <w:color w:val="auto"/>
          <w:highlight w:val="none"/>
        </w:rPr>
        <w:t xml:space="preserve"> ；承建（承接）企业为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（企业名称），从业人员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万元，属于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（中型企业、 小型企业、微型企业）； </w:t>
      </w:r>
      <w:r/>
    </w:p>
    <w:p>
      <w:pPr>
        <w:ind w:firstLine="420"/>
        <w:jc w:val="left"/>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20"/>
        <w:jc w:val="left"/>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                  （加盖CA电子章）</w:t>
      </w:r>
      <w:r/>
    </w:p>
    <w:p>
      <w:pPr>
        <w:ind w:firstLine="42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说明：</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1.从业人员、营业收入、资产总额填报上一年度数据，无上一年度数据的新成立企业可不填报。</w:t>
      </w:r>
      <w:r/>
    </w:p>
    <w:p>
      <w:pPr>
        <w:ind w:firstLine="420"/>
        <w:jc w:val="left"/>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2.中小微企业划型标准请对照《关于印发中小企业划型标准规定的通知》</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工信部联企业〔2011〕300号</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，文件网址如下：https://www.miit.gov.cn/jgsj/qyj/wjfb/art/2011/art_235af1ade45c4865957adeed23f9d949.html</w:t>
      </w:r>
      <w:r>
        <w:rPr>
          <w:rFonts w:hint="eastAsia" w:ascii="宋体" w:hAnsi="宋体" w:eastAsia="宋体" w:cs="宋体"/>
          <w:color w:val="auto"/>
          <w:szCs w:val="21"/>
          <w:highlight w:val="none"/>
        </w:rPr>
        <w:t xml:space="preserve">。</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本项目采购标的所属行业为</w:t>
      </w:r>
      <w:r>
        <w:rPr>
          <w:rFonts w:hint="eastAsia" w:ascii="宋体" w:hAnsi="宋体" w:eastAsia="宋体" w:cs="宋体"/>
          <w:color w:val="auto"/>
          <w:highlight w:val="none"/>
          <w:u w:val="single"/>
        </w:rPr>
        <w:t xml:space="preserve">其他未列明行业 </w:t>
      </w:r>
      <w:r>
        <w:rPr>
          <w:rFonts w:hint="eastAsia" w:ascii="宋体" w:hAnsi="宋体" w:eastAsia="宋体" w:cs="宋体"/>
          <w:color w:val="auto"/>
          <w:highlight w:val="none"/>
        </w:rPr>
        <w:t xml:space="preserve">。</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3.成交供应商的中小企业声明函将在结果公告中对外公示，声明函内容不实的，属于提供虚假材料谋取成交，将依照《中华人民共和国政府采购法》等国家有关规定追究相应责任。</w:t>
      </w:r>
      <w:r/>
    </w:p>
    <w:p>
      <w:pPr>
        <w:pStyle w:val="883"/>
        <w:widowControl w:val="off"/>
        <w:rPr>
          <w:rFonts w:hint="eastAsia" w:ascii="宋体" w:hAnsi="宋体" w:eastAsia="宋体" w:cs="宋体"/>
          <w:color w:val="auto"/>
          <w:highlight w:val="none"/>
        </w:rPr>
      </w:pPr>
      <w:r>
        <w:rPr>
          <w:rFonts w:hint="eastAsia" w:ascii="宋体" w:hAnsi="宋体" w:eastAsia="宋体" w:cs="宋体"/>
          <w:color w:val="auto"/>
          <w:highlight w:val="none"/>
          <w:u w:val="single"/>
        </w:rPr>
        <w:br w:type="page" w:clear="all"/>
      </w:r>
      <w:r>
        <w:rPr>
          <w:rFonts w:hint="eastAsia" w:ascii="宋体" w:hAnsi="宋体" w:eastAsia="宋体" w:cs="宋体"/>
          <w:color w:val="auto"/>
          <w:highlight w:val="none"/>
        </w:rPr>
        <w:t xml:space="preserve">附件5：</w:t>
      </w:r>
      <w:r/>
    </w:p>
    <w:p>
      <w:pPr>
        <w:pStyle w:val="883"/>
        <w:jc w:val="center"/>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残疾人福利性单位声明函</w:t>
      </w:r>
      <w:r/>
    </w:p>
    <w:p>
      <w:pPr>
        <w:pStyle w:val="877"/>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单位的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项目采购活动提供服务。</w:t>
      </w:r>
      <w:r/>
    </w:p>
    <w:p>
      <w:pPr>
        <w:pStyle w:val="877"/>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                  （加盖CA电子章）</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说明：</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1.非残疾人福利性单位不需提供此声明函。</w:t>
      </w:r>
      <w:r/>
    </w:p>
    <w:p>
      <w:pPr>
        <w:pStyle w:val="87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3"/>
        <w:widowControl w:val="off"/>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附件6：</w:t>
      </w:r>
      <w:r/>
    </w:p>
    <w:p>
      <w:pPr>
        <w:pStyle w:val="877"/>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监狱企业声明函</w:t>
      </w:r>
      <w:r/>
    </w:p>
    <w:p>
      <w:pPr>
        <w:pStyle w:val="877"/>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本单位郑重声明，根据《关于政府采购支持监狱企业发展有关问题的通知》（财库〔2014〕68号）的规定，本单位为监狱企业。</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根据上述标准，我单位属于监狱企业的理由为：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77"/>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本单位参加</w:t>
      </w:r>
      <w:r>
        <w:rPr>
          <w:rFonts w:hint="eastAsia" w:ascii="宋体" w:hAnsi="宋体" w:eastAsia="宋体" w:cs="宋体"/>
          <w:color w:val="auto"/>
          <w:highlight w:val="none"/>
          <w:u w:val="single"/>
        </w:rPr>
        <w:t xml:space="preserve">（采购人名称）       </w:t>
      </w:r>
      <w:r>
        <w:rPr>
          <w:rFonts w:hint="eastAsia" w:ascii="宋体" w:hAnsi="宋体" w:eastAsia="宋体" w:cs="宋体"/>
          <w:color w:val="auto"/>
          <w:highlight w:val="none"/>
        </w:rPr>
        <w:t xml:space="preserve">单位的</w:t>
      </w:r>
      <w:r>
        <w:rPr>
          <w:rFonts w:hint="eastAsia" w:ascii="宋体" w:hAnsi="宋体" w:eastAsia="宋体" w:cs="宋体"/>
          <w:color w:val="auto"/>
          <w:highlight w:val="none"/>
          <w:u w:val="single"/>
        </w:rPr>
        <w:t xml:space="preserve">（项目名称）         </w:t>
      </w:r>
      <w:r>
        <w:rPr>
          <w:rFonts w:hint="eastAsia" w:ascii="宋体" w:hAnsi="宋体" w:eastAsia="宋体" w:cs="宋体"/>
          <w:color w:val="auto"/>
          <w:highlight w:val="none"/>
        </w:rPr>
        <w:t xml:space="preserve">项目的采购活动，并由本单位为本项目提供服务。</w:t>
      </w:r>
      <w:r/>
    </w:p>
    <w:p>
      <w:pPr>
        <w:pStyle w:val="877"/>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7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7"/>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                  （加盖CA电子章）</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87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7"/>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说明：</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1.监狱企业参加采购活动时，应当提供由省级以上监狱管理局、戒毒管理局（含新疆生产建设兵团）出具的属于监狱企业的证明文件。</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3.非监狱企业不需提供此声明函。</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3"/>
        <w:widowControl w:val="off"/>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135" w:name="_Toc56409114"/>
      <w:r/>
      <w:bookmarkStart w:id="136" w:name="_Toc439777351"/>
      <w:r/>
      <w:bookmarkStart w:id="137" w:name="_Toc55639393"/>
      <w:r/>
      <w:bookmarkStart w:id="138" w:name="_Toc55707673"/>
      <w:r/>
      <w:bookmarkStart w:id="139" w:name="_Toc56139088"/>
      <w:r/>
      <w:bookmarkStart w:id="140" w:name="_Toc54372071"/>
      <w:r/>
      <w:bookmarkStart w:id="141" w:name="_Toc439777159"/>
      <w:r/>
      <w:bookmarkStart w:id="142" w:name="_Toc59896715"/>
      <w:r/>
      <w:bookmarkStart w:id="143" w:name="_Toc55705168"/>
      <w:r/>
      <w:bookmarkStart w:id="144" w:name="_Toc54372655"/>
      <w:r/>
      <w:bookmarkStart w:id="145" w:name="_Toc440442375"/>
      <w:r/>
      <w:bookmarkStart w:id="146" w:name="_Toc54372237"/>
      <w:r/>
      <w:bookmarkStart w:id="147" w:name="_Toc56153862"/>
      <w:r/>
      <w:bookmarkStart w:id="148" w:name="_Toc59900983"/>
      <w:r/>
      <w:bookmarkStart w:id="149" w:name="_Toc55654540"/>
      <w:r/>
      <w:bookmarkStart w:id="150" w:name="_Toc56141898"/>
      <w:r/>
      <w:bookmarkStart w:id="151" w:name="_Toc434481560"/>
      <w:r>
        <w:rPr>
          <w:rFonts w:hint="eastAsia" w:ascii="宋体" w:hAnsi="宋体" w:eastAsia="宋体" w:cs="宋体"/>
          <w:color w:val="auto"/>
          <w:highlight w:val="none"/>
        </w:rPr>
        <w:t xml:space="preserve">附件7：</w:t>
      </w:r>
      <w:r/>
    </w:p>
    <w:p>
      <w:pPr>
        <w:pStyle w:val="877"/>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具备履行合同所必需的设备和专业技术能力的书面声明</w:t>
      </w:r>
      <w:r/>
    </w:p>
    <w:p>
      <w:pPr>
        <w:pStyle w:val="877"/>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0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（供应商名称）</w:t>
      </w:r>
      <w:r>
        <w:rPr>
          <w:rFonts w:hint="eastAsia" w:ascii="宋体" w:hAnsi="宋体" w:eastAsia="宋体" w:cs="宋体"/>
          <w:color w:val="auto"/>
          <w:sz w:val="21"/>
          <w:szCs w:val="21"/>
          <w:highlight w:val="none"/>
        </w:rPr>
        <w:t xml:space="preserve">在此承诺：</w:t>
      </w:r>
      <w:r/>
    </w:p>
    <w:p>
      <w:pPr>
        <w:pStyle w:val="903"/>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我单位具备履行本项采购合同所必需的设备和专业技术能力，为履行本项采购合同我公司具备如下主要设备和主要专业技术能力：</w:t>
      </w:r>
      <w:r/>
    </w:p>
    <w:p>
      <w:pPr>
        <w:pStyle w:val="903"/>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 </w:t>
      </w:r>
      <w:r/>
    </w:p>
    <w:p>
      <w:pPr>
        <w:pStyle w:val="903"/>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bCs/>
          <w:color w:val="auto"/>
          <w:highlight w:val="none"/>
        </w:rPr>
        <w:t xml:space="preserve">供应商</w:t>
      </w:r>
      <w:r>
        <w:rPr>
          <w:rFonts w:hint="eastAsia" w:ascii="宋体" w:hAnsi="宋体" w:eastAsia="宋体" w:cs="宋体"/>
          <w:color w:val="auto"/>
          <w:highlight w:val="none"/>
        </w:rPr>
        <w:t xml:space="preserve">（加盖CA电子章）：</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法定代表人或授权代表（签字或盖章）：</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highlight w:val="none"/>
        </w:rPr>
        <w:t xml:space="preserve">附件8：</w:t>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jc w:val="center"/>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磋商响应函</w:t>
      </w:r>
      <w:r/>
    </w:p>
    <w:p>
      <w:pPr>
        <w:pStyle w:val="892"/>
        <w:ind w:firstLine="0"/>
        <w:spacing w:line="360" w:lineRule="exact"/>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（采购人）</w:t>
      </w:r>
      <w:r/>
    </w:p>
    <w:p>
      <w:pPr>
        <w:pStyle w:val="903"/>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号磋商文件，正式授权下述签字人_________ （姓名和职务）代表我方______________（供应商的名称），全权处理本项目磋商采购的有关事宜。</w:t>
      </w:r>
      <w:r/>
    </w:p>
    <w:p>
      <w:pPr>
        <w:pStyle w:val="903"/>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据此函，__________（签字人）兹宣布同意如下：</w:t>
      </w:r>
      <w:r/>
    </w:p>
    <w:p>
      <w:pPr>
        <w:pStyle w:val="903"/>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1.按磋商文件规定的各项要求，向采购人提供所需服务。</w:t>
      </w:r>
      <w:r/>
    </w:p>
    <w:p>
      <w:pPr>
        <w:pStyle w:val="903"/>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2.我们已详细审核全部磋商文件及其有效补充文件，我们知道必须放弃提出含糊不清或误解问题的权利。</w:t>
      </w:r>
      <w:r/>
    </w:p>
    <w:p>
      <w:pPr>
        <w:pStyle w:val="903"/>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3.我们同意从规定的响应文件接收截止时间起遵循本响应文件，并在规定的磋商有效期期满之前均具有约束力。</w:t>
      </w:r>
      <w:r/>
    </w:p>
    <w:p>
      <w:pPr>
        <w:pStyle w:val="903"/>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4.如果在响应文件接收截止时间后规定的磋商有效期内撤回响应文件或成交后拒绝签订合同，我们自愿接受政府采购监管机构的处理。</w:t>
      </w:r>
      <w:r/>
    </w:p>
    <w:p>
      <w:pPr>
        <w:pStyle w:val="903"/>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5.同意向贵方提供贵方可能另外要求的与磋商采购有关的任何证据或资料，并保证我方已提供和将要提供的文件是真实的、准确的。</w:t>
      </w:r>
      <w:r/>
    </w:p>
    <w:p>
      <w:pPr>
        <w:pStyle w:val="903"/>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6.一旦我方成交，我方将根据磋商文件的规定，严格履行合同的责任和义务，并保证在磋商文件规定的时间完成项目，交付采购人验收、使用。</w:t>
      </w:r>
      <w:r/>
    </w:p>
    <w:p>
      <w:pPr>
        <w:pStyle w:val="903"/>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7.遵守磋商文件中要求的收费项目和标准。</w:t>
      </w:r>
      <w:r/>
    </w:p>
    <w:p>
      <w:pPr>
        <w:pStyle w:val="903"/>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8.与本磋商采购有关的正式通讯地址为：</w:t>
      </w:r>
      <w:r/>
    </w:p>
    <w:p>
      <w:pPr>
        <w:pStyle w:val="903"/>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邮编：</w:t>
      </w:r>
      <w:r/>
    </w:p>
    <w:p>
      <w:pPr>
        <w:pStyle w:val="903"/>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                         传真：</w:t>
      </w:r>
      <w:r/>
    </w:p>
    <w:p>
      <w:pPr>
        <w:pStyle w:val="903"/>
        <w:ind w:firstLine="42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供应商开户行：                 账户： </w:t>
      </w:r>
      <w:r/>
    </w:p>
    <w:p>
      <w:pPr>
        <w:pStyle w:val="903"/>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联系电话：</w:t>
      </w:r>
      <w:r/>
    </w:p>
    <w:p>
      <w:pP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供应商</w:t>
      </w:r>
      <w:r>
        <w:rPr>
          <w:rFonts w:hint="eastAsia" w:ascii="宋体" w:hAnsi="宋体" w:eastAsia="宋体" w:cs="宋体"/>
          <w:color w:val="auto"/>
          <w:szCs w:val="21"/>
          <w:highlight w:val="none"/>
        </w:rPr>
        <w:t xml:space="preserve">（加盖CA电子章）：</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法定代表人或授权代表（签字或盖章）：</w:t>
      </w:r>
      <w:r/>
    </w:p>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ind w:firstLine="420"/>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ascii="宋体" w:hAnsi="宋体" w:eastAsia="宋体" w:cs="宋体"/>
          <w:color w:val="auto"/>
          <w:highlight w:val="none"/>
        </w:rPr>
      </w:pPr>
      <w:r/>
      <w:bookmarkStart w:id="152" w:name="_Toc12269"/>
      <w:r/>
      <w:bookmarkStart w:id="153" w:name="_Toc26371"/>
      <w:r/>
      <w:bookmarkStart w:id="154" w:name="_Toc7712"/>
      <w:r>
        <w:rPr>
          <w:rFonts w:hint="eastAsia" w:ascii="宋体" w:hAnsi="宋体" w:eastAsia="宋体" w:cs="宋体"/>
          <w:color w:val="auto"/>
          <w:highlight w:val="none"/>
        </w:rPr>
        <w:t xml:space="preserve">附件9：</w:t>
      </w:r>
      <w:bookmarkEnd w:id="152"/>
      <w:r/>
      <w:bookmarkEnd w:id="153"/>
      <w:r/>
      <w:bookmarkEnd w:id="154"/>
      <w:r/>
      <w:r/>
    </w:p>
    <w:p>
      <w:pPr>
        <w:jc w:val="center"/>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服务及商务响应偏离表</w:t>
      </w:r>
      <w:r/>
    </w:p>
    <w:tbl>
      <w:tblPr>
        <w:tblStyle w:val="695"/>
        <w:tblW w:w="86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8"/>
        <w:gridCol w:w="2658"/>
        <w:gridCol w:w="2759"/>
        <w:gridCol w:w="2067"/>
      </w:tblGrid>
      <w:tr>
        <w:trPr>
          <w:jc w:val="center"/>
          <w:trHeight w:val="515"/>
        </w:trPr>
        <w:tc>
          <w:tcPr>
            <w:tcW w:w="113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2658"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项目需求</w:t>
            </w:r>
            <w:r/>
          </w:p>
        </w:tc>
        <w:tc>
          <w:tcPr>
            <w:tcW w:w="275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响应情况</w:t>
            </w:r>
            <w:r/>
          </w:p>
        </w:tc>
        <w:tc>
          <w:tcPr>
            <w:tcW w:w="206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偏离说明</w:t>
            </w:r>
            <w:r/>
          </w:p>
        </w:tc>
      </w:tr>
      <w:tr>
        <w:trPr>
          <w:jc w:val="center"/>
          <w:trHeight w:val="599"/>
        </w:trPr>
        <w:tc>
          <w:tcPr>
            <w:tcW w:w="113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5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6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5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6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5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6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5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6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5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6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5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6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5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6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599"/>
        </w:trPr>
        <w:tc>
          <w:tcPr>
            <w:tcW w:w="113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658"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75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67"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1.本表即为对本磋商文件中提出的服务及商务需求进行比较和响应；其中服务需求主要包含服务范围、内容及要求，商务需求主要包括供应商资格、合同期限、合同报价、支付方式及评审办法中所提出的评审要求等。</w:t>
      </w:r>
      <w:r/>
    </w:p>
    <w:p>
      <w:pPr>
        <w:ind w:firstLine="315"/>
        <w:rPr>
          <w:rFonts w:hint="eastAsia" w:ascii="宋体" w:hAnsi="宋体" w:eastAsia="宋体" w:cs="宋体"/>
          <w:color w:val="auto"/>
          <w:highlight w:val="none"/>
        </w:rPr>
      </w:pPr>
      <w:r>
        <w:rPr>
          <w:rFonts w:hint="eastAsia" w:ascii="宋体" w:hAnsi="宋体" w:eastAsia="宋体" w:cs="宋体"/>
          <w:color w:val="auto"/>
          <w:highlight w:val="none"/>
        </w:rPr>
        <w:t xml:space="preserve">2.该表必须按照竞争性磋商要求逐条如实填写，根据响应情况在“偏离说明”项填写正偏离或负偏离及原因，完全符合的填写“无偏离”。</w:t>
      </w:r>
      <w:r/>
    </w:p>
    <w:p>
      <w:pPr>
        <w:ind w:firstLine="315"/>
        <w:rPr>
          <w:rFonts w:hint="eastAsia" w:ascii="宋体" w:hAnsi="宋体" w:eastAsia="宋体" w:cs="宋体"/>
          <w:color w:val="auto"/>
          <w:highlight w:val="none"/>
        </w:rPr>
      </w:pPr>
      <w:r>
        <w:rPr>
          <w:rFonts w:hint="eastAsia" w:ascii="宋体" w:hAnsi="宋体" w:eastAsia="宋体" w:cs="宋体"/>
          <w:color w:val="auto"/>
          <w:highlight w:val="none"/>
        </w:rPr>
        <w:t xml:space="preserve">3.该表可扩展，并逐页签字或盖章。</w:t>
      </w:r>
      <w:r/>
    </w:p>
    <w:p>
      <w:pPr>
        <w:ind w:firstLine="315"/>
        <w:rPr>
          <w:rFonts w:hint="eastAsia" w:ascii="宋体" w:hAnsi="宋体" w:eastAsia="宋体" w:cs="宋体"/>
          <w:color w:val="auto"/>
          <w:highlight w:val="none"/>
        </w:rPr>
      </w:pPr>
      <w:r>
        <w:rPr>
          <w:rFonts w:hint="eastAsia" w:ascii="宋体" w:hAnsi="宋体" w:eastAsia="宋体" w:cs="宋体"/>
          <w:color w:val="auto"/>
          <w:highlight w:val="none"/>
        </w:rPr>
        <w:t xml:space="preserve">4.可附相关技术支撑材料。（格式自定）</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bCs/>
          <w:color w:val="auto"/>
          <w:highlight w:val="none"/>
        </w:rPr>
        <w:t xml:space="preserve">供应商</w:t>
      </w:r>
      <w:r>
        <w:rPr>
          <w:rFonts w:hint="eastAsia" w:ascii="宋体" w:hAnsi="宋体" w:eastAsia="宋体" w:cs="宋体"/>
          <w:color w:val="auto"/>
          <w:highlight w:val="none"/>
        </w:rPr>
        <w:t xml:space="preserve">（加盖CA电子章）：</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法定代表人或授权代表（签字或盖章）：</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bookmarkEnd w:id="155"/>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Tahoma">
    <w:panose1 w:val="020B0604030504040204"/>
  </w:font>
  <w:font w:name="Calibri">
    <w:panose1 w:val="020F0502020204030204"/>
  </w:font>
  <w:font w:name="仿宋">
    <w:panose1 w:val="02010609060101010101"/>
  </w:font>
  <w:font w:name="Adobe 仿宋 Std R">
    <w:panose1 w:val="020B0503020202020204"/>
  </w:font>
  <w:font w:name="方正黑体_GBK">
    <w:panose1 w:val="020B0503020202020204"/>
  </w:font>
  <w:font w:name="Cambria">
    <w:panose1 w:val="02040503050406030204"/>
  </w:font>
  <w:font w:name="Courier New">
    <w:panose1 w:val="02070309020205020404"/>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9685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96850"/>
                      </a:xfrm>
                      <a:prstGeom prst="rect">
                        <a:avLst/>
                      </a:prstGeom>
                      <a:noFill/>
                      <a:ln w="6350">
                        <a:noFill/>
                      </a:ln>
                    </wps:spPr>
                    <wps:txbx>
                      <w:txbxContent>
                        <w:p>
                          <w:pPr>
                            <w:pStyle w:val="880"/>
                          </w:pPr>
                          <w:r>
                            <w:fldChar w:fldCharType="begin"/>
                          </w:r>
                          <w:r>
                            <w:instrText xml:space="preserve"> PAGE  \* MERGEFORMAT </w:instrText>
                          </w:r>
                          <w:r>
                            <w:fldChar w:fldCharType="separate"/>
                          </w:r>
                          <w:r>
                            <w:t xml:space="preserve">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5.5pt;mso-wrap-distance-left:9.0pt;mso-wrap-distance-top:0.0pt;mso-wrap-distance-right:9.0pt;mso-wrap-distance-bottom:0.0pt;visibility:visible;" filled="f" stroked="f" strokeweight="0.50pt">
              <v:textbox inset="0,0,0,0">
                <w:txbxContent>
                  <w:p>
                    <w:pPr>
                      <w:pStyle w:val="880"/>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link w:val="904"/>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685">
    <w:name w:val="Heading 1"/>
    <w:basedOn w:val="684"/>
    <w:next w:val="684"/>
    <w:link w:val="720"/>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21"/>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link w:val="722"/>
    <w:uiPriority w:val="9"/>
    <w:unhideWhenUsed/>
    <w:qFormat/>
    <w:pPr>
      <w:keepLines/>
      <w:keepNext/>
      <w:spacing w:before="320" w:after="200"/>
      <w:outlineLvl w:val="2"/>
    </w:pPr>
    <w:rPr>
      <w:rFonts w:ascii="Arial" w:hAnsi="Arial" w:eastAsia="Arial" w:cs="Arial"/>
      <w:sz w:val="30"/>
      <w:szCs w:val="30"/>
    </w:rPr>
  </w:style>
  <w:style w:type="paragraph" w:styleId="688">
    <w:name w:val="Heading 4"/>
    <w:basedOn w:val="684"/>
    <w:next w:val="684"/>
    <w:link w:val="723"/>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24"/>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25"/>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26"/>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27"/>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28"/>
    <w:uiPriority w:val="9"/>
    <w:unhideWhenUsed/>
    <w:qFormat/>
    <w:pPr>
      <w:keepLines/>
      <w:keepNext/>
      <w:spacing w:before="320" w:after="200"/>
      <w:outlineLvl w:val="8"/>
    </w:pPr>
    <w:rPr>
      <w:rFonts w:ascii="Arial" w:hAnsi="Arial" w:eastAsia="Arial" w:cs="Arial"/>
      <w:i/>
      <w:iCs/>
      <w:sz w:val="21"/>
      <w:szCs w:val="21"/>
    </w:rPr>
  </w:style>
  <w:style w:type="character" w:styleId="694" w:default="1">
    <w:name w:val="Default Paragraph Font"/>
    <w:uiPriority w:val="1"/>
    <w:semiHidden/>
    <w:unhideWhenUsed/>
    <w:qFormat/>
  </w:style>
  <w:style w:type="table" w:styleId="695" w:default="1">
    <w:name w:val="Normal Table"/>
    <w:uiPriority w:val="99"/>
    <w:semiHidden/>
    <w:unhideWhenUsed/>
    <w:qFormat/>
    <w:tblPr>
      <w:tblCellMar>
        <w:left w:w="108" w:type="dxa"/>
        <w:top w:w="0" w:type="dxa"/>
        <w:right w:w="108" w:type="dxa"/>
        <w:bottom w:w="0" w:type="dxa"/>
      </w:tblCellMar>
    </w:tblPr>
  </w:style>
  <w:style w:type="paragraph" w:styleId="696">
    <w:name w:val="toc 7"/>
    <w:basedOn w:val="684"/>
    <w:next w:val="684"/>
    <w:uiPriority w:val="39"/>
    <w:unhideWhenUsed/>
    <w:qFormat/>
    <w:pPr>
      <w:ind w:left="1701" w:right="0" w:firstLine="0"/>
      <w:spacing w:after="57"/>
    </w:pPr>
  </w:style>
  <w:style w:type="paragraph" w:styleId="697">
    <w:name w:val="Caption"/>
    <w:basedOn w:val="684"/>
    <w:next w:val="6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8">
    <w:name w:val="annotation text"/>
    <w:basedOn w:val="684"/>
    <w:uiPriority w:val="0"/>
    <w:qFormat/>
    <w:pPr>
      <w:jc w:val="left"/>
    </w:pPr>
  </w:style>
  <w:style w:type="paragraph" w:styleId="699">
    <w:name w:val="Body Text"/>
    <w:basedOn w:val="684"/>
    <w:next w:val="700"/>
    <w:uiPriority w:val="0"/>
    <w:qFormat/>
    <w:pPr>
      <w:ind w:left="0" w:right="0"/>
      <w:jc w:val="both"/>
      <w:spacing w:before="0" w:after="120"/>
      <w:widowControl w:val="off"/>
    </w:pPr>
    <w:rPr>
      <w:rFonts w:ascii="Times New Roman" w:hAnsi="Times New Roman" w:eastAsia="宋体" w:cs="Times New Roman"/>
      <w:sz w:val="21"/>
      <w:szCs w:val="24"/>
      <w:lang w:val="en-US" w:eastAsia="zh-CN" w:bidi="ar-SA"/>
    </w:rPr>
  </w:style>
  <w:style w:type="paragraph" w:styleId="700">
    <w:name w:val="Body Text 2"/>
    <w:uiPriority w:val="0"/>
    <w:qFormat/>
    <w:pPr>
      <w:jc w:val="left"/>
      <w:spacing w:after="120" w:line="480" w:lineRule="auto"/>
    </w:pPr>
    <w:rPr>
      <w:rFonts w:ascii="Arial" w:hAnsi="Arial" w:eastAsia="Arial" w:cs="Arial"/>
      <w:color w:val="000000"/>
      <w:sz w:val="21"/>
      <w:szCs w:val="21"/>
      <w:lang w:val="en-US" w:eastAsia="en-US" w:bidi="ar-SA"/>
    </w:rPr>
  </w:style>
  <w:style w:type="paragraph" w:styleId="701">
    <w:name w:val="toc 5"/>
    <w:basedOn w:val="684"/>
    <w:next w:val="684"/>
    <w:uiPriority w:val="39"/>
    <w:unhideWhenUsed/>
    <w:qFormat/>
    <w:pPr>
      <w:ind w:left="1134" w:right="0" w:firstLine="0"/>
      <w:spacing w:after="57"/>
    </w:pPr>
  </w:style>
  <w:style w:type="paragraph" w:styleId="702">
    <w:name w:val="toc 3"/>
    <w:basedOn w:val="684"/>
    <w:next w:val="684"/>
    <w:uiPriority w:val="39"/>
    <w:unhideWhenUsed/>
    <w:qFormat/>
    <w:pPr>
      <w:ind w:left="567" w:right="0" w:firstLine="0"/>
      <w:spacing w:after="57"/>
    </w:pPr>
  </w:style>
  <w:style w:type="paragraph" w:styleId="703">
    <w:name w:val="toc 8"/>
    <w:basedOn w:val="684"/>
    <w:next w:val="684"/>
    <w:uiPriority w:val="39"/>
    <w:unhideWhenUsed/>
    <w:qFormat/>
    <w:pPr>
      <w:ind w:left="1984" w:right="0" w:firstLine="0"/>
      <w:spacing w:after="57"/>
    </w:pPr>
  </w:style>
  <w:style w:type="paragraph" w:styleId="704">
    <w:name w:val="endnote text"/>
    <w:basedOn w:val="684"/>
    <w:link w:val="866"/>
    <w:uiPriority w:val="99"/>
    <w:semiHidden/>
    <w:unhideWhenUsed/>
    <w:qFormat/>
    <w:pPr>
      <w:spacing w:after="0" w:line="240" w:lineRule="auto"/>
    </w:pPr>
    <w:rPr>
      <w:sz w:val="20"/>
    </w:rPr>
  </w:style>
  <w:style w:type="paragraph" w:styleId="705">
    <w:name w:val="Footer"/>
    <w:basedOn w:val="684"/>
    <w:link w:val="739"/>
    <w:uiPriority w:val="99"/>
    <w:unhideWhenUsed/>
    <w:qFormat/>
    <w:pPr>
      <w:spacing w:after="0" w:line="240" w:lineRule="auto"/>
      <w:tabs>
        <w:tab w:val="center" w:pos="7143" w:leader="none"/>
        <w:tab w:val="right" w:pos="14287" w:leader="none"/>
      </w:tabs>
    </w:pPr>
  </w:style>
  <w:style w:type="paragraph" w:styleId="706">
    <w:name w:val="Header"/>
    <w:basedOn w:val="684"/>
    <w:link w:val="737"/>
    <w:uiPriority w:val="99"/>
    <w:unhideWhenUsed/>
    <w:qFormat/>
    <w:pPr>
      <w:spacing w:after="0" w:line="240" w:lineRule="auto"/>
      <w:tabs>
        <w:tab w:val="center" w:pos="7143" w:leader="none"/>
        <w:tab w:val="right" w:pos="14287" w:leader="none"/>
      </w:tabs>
    </w:pPr>
  </w:style>
  <w:style w:type="paragraph" w:styleId="707">
    <w:name w:val="toc 1"/>
    <w:basedOn w:val="684"/>
    <w:next w:val="684"/>
    <w:uiPriority w:val="39"/>
    <w:unhideWhenUsed/>
    <w:qFormat/>
    <w:pPr>
      <w:ind w:left="0" w:right="0" w:firstLine="0"/>
      <w:spacing w:after="57"/>
    </w:pPr>
  </w:style>
  <w:style w:type="paragraph" w:styleId="708">
    <w:name w:val="toc 4"/>
    <w:basedOn w:val="684"/>
    <w:next w:val="684"/>
    <w:uiPriority w:val="39"/>
    <w:unhideWhenUsed/>
    <w:qFormat/>
    <w:pPr>
      <w:ind w:left="850" w:right="0" w:firstLine="0"/>
      <w:spacing w:after="57"/>
    </w:pPr>
  </w:style>
  <w:style w:type="paragraph" w:styleId="709">
    <w:name w:val="Subtitle"/>
    <w:basedOn w:val="684"/>
    <w:next w:val="684"/>
    <w:link w:val="732"/>
    <w:uiPriority w:val="11"/>
    <w:qFormat/>
    <w:pPr>
      <w:spacing w:before="200" w:after="200"/>
    </w:pPr>
    <w:rPr>
      <w:sz w:val="24"/>
      <w:szCs w:val="24"/>
    </w:rPr>
  </w:style>
  <w:style w:type="paragraph" w:styleId="710">
    <w:name w:val="footnote text"/>
    <w:basedOn w:val="684"/>
    <w:link w:val="865"/>
    <w:uiPriority w:val="99"/>
    <w:semiHidden/>
    <w:unhideWhenUsed/>
    <w:qFormat/>
    <w:pPr>
      <w:spacing w:after="40" w:line="240" w:lineRule="auto"/>
    </w:pPr>
    <w:rPr>
      <w:sz w:val="18"/>
    </w:rPr>
  </w:style>
  <w:style w:type="paragraph" w:styleId="711">
    <w:name w:val="toc 6"/>
    <w:basedOn w:val="684"/>
    <w:next w:val="684"/>
    <w:uiPriority w:val="39"/>
    <w:unhideWhenUsed/>
    <w:qFormat/>
    <w:pPr>
      <w:ind w:left="1417" w:right="0" w:firstLine="0"/>
      <w:spacing w:after="57"/>
    </w:pPr>
  </w:style>
  <w:style w:type="paragraph" w:styleId="712">
    <w:name w:val="table of figures"/>
    <w:basedOn w:val="684"/>
    <w:next w:val="684"/>
    <w:uiPriority w:val="99"/>
    <w:unhideWhenUsed/>
    <w:qFormat/>
    <w:pPr>
      <w:spacing w:after="0" w:afterAutospacing="0"/>
    </w:pPr>
  </w:style>
  <w:style w:type="paragraph" w:styleId="713">
    <w:name w:val="toc 2"/>
    <w:basedOn w:val="684"/>
    <w:next w:val="684"/>
    <w:uiPriority w:val="39"/>
    <w:unhideWhenUsed/>
    <w:qFormat/>
    <w:pPr>
      <w:ind w:left="283" w:right="0" w:firstLine="0"/>
      <w:spacing w:after="57"/>
    </w:pPr>
  </w:style>
  <w:style w:type="paragraph" w:styleId="714">
    <w:name w:val="toc 9"/>
    <w:basedOn w:val="684"/>
    <w:next w:val="684"/>
    <w:uiPriority w:val="39"/>
    <w:unhideWhenUsed/>
    <w:qFormat/>
    <w:pPr>
      <w:ind w:left="2268" w:right="0" w:firstLine="0"/>
      <w:spacing w:after="57"/>
    </w:pPr>
  </w:style>
  <w:style w:type="paragraph" w:styleId="715">
    <w:name w:val="Title"/>
    <w:basedOn w:val="684"/>
    <w:next w:val="684"/>
    <w:link w:val="731"/>
    <w:uiPriority w:val="10"/>
    <w:qFormat/>
    <w:pPr>
      <w:contextualSpacing/>
      <w:spacing w:before="300" w:after="200"/>
    </w:pPr>
    <w:rPr>
      <w:sz w:val="48"/>
      <w:szCs w:val="48"/>
    </w:rPr>
  </w:style>
  <w:style w:type="table" w:styleId="71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7">
    <w:name w:val="endnote reference"/>
    <w:uiPriority w:val="99"/>
    <w:semiHidden/>
    <w:unhideWhenUsed/>
    <w:qFormat/>
    <w:rPr>
      <w:vertAlign w:val="superscript"/>
    </w:rPr>
  </w:style>
  <w:style w:type="character" w:styleId="718">
    <w:name w:val="Hyperlink"/>
    <w:uiPriority w:val="99"/>
    <w:unhideWhenUsed/>
    <w:qFormat/>
    <w:rPr>
      <w:color w:val="0000ff" w:themeColor="hyperlink"/>
      <w:u w:val="single"/>
      <w14:textFill>
        <w14:solidFill>
          <w14:schemeClr w14:val="hlink"/>
        </w14:solidFill>
      </w14:textFill>
    </w:rPr>
  </w:style>
  <w:style w:type="character" w:styleId="719">
    <w:name w:val="footnote reference"/>
    <w:uiPriority w:val="99"/>
    <w:unhideWhenUsed/>
    <w:qFormat/>
    <w:rPr>
      <w:vertAlign w:val="superscript"/>
    </w:rPr>
  </w:style>
  <w:style w:type="character" w:styleId="720" w:customStyle="1">
    <w:name w:val="Heading 1 Char"/>
    <w:link w:val="685"/>
    <w:uiPriority w:val="9"/>
    <w:qFormat/>
    <w:rPr>
      <w:rFonts w:ascii="Arial" w:hAnsi="Arial" w:eastAsia="Arial" w:cs="Arial"/>
      <w:sz w:val="40"/>
      <w:szCs w:val="40"/>
    </w:rPr>
  </w:style>
  <w:style w:type="character" w:styleId="721" w:customStyle="1">
    <w:name w:val="Heading 2 Char"/>
    <w:link w:val="686"/>
    <w:uiPriority w:val="9"/>
    <w:qFormat/>
    <w:rPr>
      <w:rFonts w:ascii="Arial" w:hAnsi="Arial" w:eastAsia="Arial" w:cs="Arial"/>
      <w:sz w:val="34"/>
    </w:rPr>
  </w:style>
  <w:style w:type="character" w:styleId="722" w:customStyle="1">
    <w:name w:val="Heading 3 Char"/>
    <w:link w:val="687"/>
    <w:uiPriority w:val="9"/>
    <w:qFormat/>
    <w:rPr>
      <w:rFonts w:ascii="Arial" w:hAnsi="Arial" w:eastAsia="Arial" w:cs="Arial"/>
      <w:sz w:val="30"/>
      <w:szCs w:val="30"/>
    </w:rPr>
  </w:style>
  <w:style w:type="character" w:styleId="723" w:customStyle="1">
    <w:name w:val="Heading 4 Char"/>
    <w:link w:val="688"/>
    <w:uiPriority w:val="9"/>
    <w:qFormat/>
    <w:rPr>
      <w:rFonts w:ascii="Arial" w:hAnsi="Arial" w:eastAsia="Arial" w:cs="Arial"/>
      <w:b/>
      <w:bCs/>
      <w:sz w:val="26"/>
      <w:szCs w:val="26"/>
    </w:rPr>
  </w:style>
  <w:style w:type="character" w:styleId="724" w:customStyle="1">
    <w:name w:val="Heading 5 Char"/>
    <w:link w:val="689"/>
    <w:uiPriority w:val="9"/>
    <w:qFormat/>
    <w:rPr>
      <w:rFonts w:ascii="Arial" w:hAnsi="Arial" w:eastAsia="Arial" w:cs="Arial"/>
      <w:b/>
      <w:bCs/>
      <w:sz w:val="24"/>
      <w:szCs w:val="24"/>
    </w:rPr>
  </w:style>
  <w:style w:type="character" w:styleId="725" w:customStyle="1">
    <w:name w:val="Heading 6 Char"/>
    <w:link w:val="690"/>
    <w:uiPriority w:val="9"/>
    <w:qFormat/>
    <w:rPr>
      <w:rFonts w:ascii="Arial" w:hAnsi="Arial" w:eastAsia="Arial" w:cs="Arial"/>
      <w:b/>
      <w:bCs/>
      <w:sz w:val="22"/>
      <w:szCs w:val="22"/>
    </w:rPr>
  </w:style>
  <w:style w:type="character" w:styleId="726" w:customStyle="1">
    <w:name w:val="Heading 7 Char"/>
    <w:link w:val="691"/>
    <w:uiPriority w:val="9"/>
    <w:qFormat/>
    <w:rPr>
      <w:rFonts w:ascii="Arial" w:hAnsi="Arial" w:eastAsia="Arial" w:cs="Arial"/>
      <w:b/>
      <w:bCs/>
      <w:i/>
      <w:iCs/>
      <w:sz w:val="22"/>
      <w:szCs w:val="22"/>
    </w:rPr>
  </w:style>
  <w:style w:type="character" w:styleId="727" w:customStyle="1">
    <w:name w:val="Heading 8 Char"/>
    <w:link w:val="692"/>
    <w:uiPriority w:val="9"/>
    <w:qFormat/>
    <w:rPr>
      <w:rFonts w:ascii="Arial" w:hAnsi="Arial" w:eastAsia="Arial" w:cs="Arial"/>
      <w:i/>
      <w:iCs/>
      <w:sz w:val="22"/>
      <w:szCs w:val="22"/>
    </w:rPr>
  </w:style>
  <w:style w:type="character" w:styleId="728" w:customStyle="1">
    <w:name w:val="Heading 9 Char"/>
    <w:link w:val="693"/>
    <w:uiPriority w:val="9"/>
    <w:qFormat/>
    <w:rPr>
      <w:rFonts w:ascii="Arial" w:hAnsi="Arial" w:eastAsia="Arial" w:cs="Arial"/>
      <w:i/>
      <w:iCs/>
      <w:sz w:val="21"/>
      <w:szCs w:val="21"/>
    </w:rPr>
  </w:style>
  <w:style w:type="paragraph" w:styleId="729">
    <w:name w:val="List Paragraph"/>
    <w:basedOn w:val="684"/>
    <w:uiPriority w:val="34"/>
    <w:qFormat/>
    <w:pPr>
      <w:contextualSpacing/>
      <w:ind w:left="720"/>
    </w:pPr>
  </w:style>
  <w:style w:type="paragraph" w:styleId="730">
    <w:name w:val="No Spacing"/>
    <w:uiPriority w:val="1"/>
    <w:qFormat/>
    <w:pPr>
      <w:spacing w:before="0" w:after="0" w:line="240" w:lineRule="auto"/>
    </w:pPr>
    <w:rPr>
      <w:rFonts w:hint="default" w:ascii="Times New Roman" w:hAnsi="Times New Roman" w:eastAsia="宋体" w:cs="Times New Roman"/>
    </w:rPr>
  </w:style>
  <w:style w:type="character" w:styleId="731" w:customStyle="1">
    <w:name w:val="Title Char"/>
    <w:link w:val="715"/>
    <w:uiPriority w:val="10"/>
    <w:qFormat/>
    <w:rPr>
      <w:sz w:val="48"/>
      <w:szCs w:val="48"/>
    </w:rPr>
  </w:style>
  <w:style w:type="character" w:styleId="732" w:customStyle="1">
    <w:name w:val="Subtitle Char"/>
    <w:link w:val="709"/>
    <w:uiPriority w:val="11"/>
    <w:qFormat/>
    <w:rPr>
      <w:sz w:val="24"/>
      <w:szCs w:val="24"/>
    </w:rPr>
  </w:style>
  <w:style w:type="paragraph" w:styleId="733">
    <w:name w:val="Quote"/>
    <w:basedOn w:val="684"/>
    <w:next w:val="684"/>
    <w:link w:val="734"/>
    <w:uiPriority w:val="29"/>
    <w:qFormat/>
    <w:pPr>
      <w:ind w:left="720" w:right="720"/>
    </w:pPr>
    <w:rPr>
      <w:i/>
    </w:rPr>
  </w:style>
  <w:style w:type="character" w:styleId="734" w:customStyle="1">
    <w:name w:val="Quote Char"/>
    <w:link w:val="733"/>
    <w:uiPriority w:val="29"/>
    <w:qFormat/>
    <w:rPr>
      <w:i/>
    </w:rPr>
  </w:style>
  <w:style w:type="paragraph" w:styleId="735">
    <w:name w:val="Intense Quote"/>
    <w:basedOn w:val="684"/>
    <w:next w:val="684"/>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customStyle="1">
    <w:name w:val="Intense Quote Char"/>
    <w:link w:val="735"/>
    <w:uiPriority w:val="30"/>
    <w:qFormat/>
    <w:rPr>
      <w:i/>
    </w:rPr>
  </w:style>
  <w:style w:type="character" w:styleId="737" w:customStyle="1">
    <w:name w:val="Header Char"/>
    <w:link w:val="706"/>
    <w:uiPriority w:val="99"/>
    <w:qFormat/>
  </w:style>
  <w:style w:type="character" w:styleId="738" w:customStyle="1">
    <w:name w:val="Footer Char"/>
    <w:link w:val="705"/>
    <w:uiPriority w:val="99"/>
    <w:qFormat/>
  </w:style>
  <w:style w:type="character" w:styleId="739" w:customStyle="1">
    <w:name w:val="Caption Char"/>
    <w:link w:val="705"/>
    <w:uiPriority w:val="99"/>
    <w:qFormat/>
  </w:style>
  <w:style w:type="table" w:styleId="74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5" w:customStyle="1">
    <w:name w:val="Footnote Text Char"/>
    <w:link w:val="710"/>
    <w:uiPriority w:val="99"/>
    <w:qFormat/>
    <w:rPr>
      <w:sz w:val="18"/>
    </w:rPr>
  </w:style>
  <w:style w:type="character" w:styleId="866" w:customStyle="1">
    <w:name w:val="Endnote Text Char"/>
    <w:link w:val="704"/>
    <w:uiPriority w:val="99"/>
    <w:qFormat/>
    <w:rPr>
      <w:sz w:val="20"/>
    </w:rPr>
  </w:style>
  <w:style w:type="paragraph" w:styleId="867" w:customStyle="1">
    <w:name w:val="TOC Heading"/>
    <w:uiPriority w:val="39"/>
    <w:unhideWhenUsed/>
    <w:qFormat/>
    <w:rPr>
      <w:rFonts w:hint="default" w:ascii="Times New Roman" w:hAnsi="Times New Roman" w:eastAsia="宋体" w:cs="Times New Roman"/>
    </w:rPr>
  </w:style>
  <w:style w:type="paragraph" w:styleId="868" w:customStyle="1">
    <w:name w:val="标题 11"/>
    <w:basedOn w:val="684"/>
    <w:next w:val="684"/>
    <w:uiPriority w:val="0"/>
    <w:qFormat/>
    <w:pPr>
      <w:keepNext/>
      <w:outlineLvl w:val="0"/>
    </w:pPr>
    <w:rPr>
      <w:rFonts w:ascii="楷体_GB2312" w:eastAsia="楷体_GB2312"/>
      <w:sz w:val="28"/>
      <w:szCs w:val="20"/>
    </w:rPr>
  </w:style>
  <w:style w:type="paragraph" w:styleId="869" w:customStyle="1">
    <w:name w:val="标题 21"/>
    <w:basedOn w:val="684"/>
    <w:next w:val="870"/>
    <w:uiPriority w:val="0"/>
    <w:qFormat/>
    <w:pPr>
      <w:jc w:val="center"/>
      <w:keepLines/>
      <w:keepNext/>
      <w:spacing w:before="260" w:after="260" w:line="416" w:lineRule="auto"/>
      <w:outlineLvl w:val="1"/>
    </w:pPr>
    <w:rPr>
      <w:rFonts w:ascii="Arial" w:hAnsi="Arial" w:eastAsia="幼圆"/>
      <w:b/>
      <w:sz w:val="44"/>
      <w:szCs w:val="20"/>
    </w:rPr>
  </w:style>
  <w:style w:type="paragraph" w:styleId="870" w:customStyle="1">
    <w:name w:val="正文缩进1"/>
    <w:basedOn w:val="684"/>
    <w:next w:val="684"/>
    <w:uiPriority w:val="0"/>
    <w:qFormat/>
    <w:pPr>
      <w:ind w:firstLine="420"/>
    </w:pPr>
    <w:rPr>
      <w:szCs w:val="21"/>
    </w:rPr>
  </w:style>
  <w:style w:type="paragraph" w:styleId="871" w:customStyle="1">
    <w:name w:val="标题 41"/>
    <w:basedOn w:val="684"/>
    <w:next w:val="684"/>
    <w:uiPriority w:val="0"/>
    <w:qFormat/>
    <w:pPr>
      <w:keepLines/>
      <w:keepNext/>
      <w:spacing w:before="120" w:after="120"/>
      <w:outlineLvl w:val="3"/>
    </w:pPr>
    <w:rPr>
      <w:rFonts w:ascii="Arial" w:hAnsi="Arial" w:eastAsia="黑体"/>
      <w:b/>
      <w:sz w:val="28"/>
    </w:rPr>
  </w:style>
  <w:style w:type="character" w:styleId="872" w:customStyle="1">
    <w:name w:val="默认段落字体1"/>
    <w:link w:val="684"/>
    <w:uiPriority w:val="0"/>
    <w:semiHidden/>
    <w:qFormat/>
  </w:style>
  <w:style w:type="table" w:styleId="873" w:customStyle="1">
    <w:name w:val="普通表格1"/>
    <w:uiPriority w:val="0"/>
    <w:semiHidden/>
    <w:qFormat/>
    <w:tblPr/>
  </w:style>
  <w:style w:type="paragraph" w:styleId="874" w:customStyle="1">
    <w:name w:val="批注文字1"/>
    <w:basedOn w:val="684"/>
    <w:uiPriority w:val="0"/>
    <w:qFormat/>
    <w:pPr>
      <w:jc w:val="left"/>
    </w:pPr>
  </w:style>
  <w:style w:type="paragraph" w:styleId="875" w:customStyle="1">
    <w:name w:val="正文文本1"/>
    <w:basedOn w:val="684"/>
    <w:uiPriority w:val="0"/>
    <w:qFormat/>
    <w:rPr>
      <w:rFonts w:ascii="楷体_GB2312" w:hAnsi="Arial" w:eastAsia="楷体_GB2312"/>
      <w:sz w:val="28"/>
      <w:szCs w:val="20"/>
    </w:rPr>
  </w:style>
  <w:style w:type="paragraph" w:styleId="876" w:customStyle="1">
    <w:name w:val="正文文本缩进1"/>
    <w:basedOn w:val="684"/>
    <w:uiPriority w:val="0"/>
    <w:qFormat/>
    <w:pPr>
      <w:ind w:firstLine="645"/>
    </w:pPr>
    <w:rPr>
      <w:rFonts w:ascii="楷体_GB2312" w:eastAsia="楷体_GB2312"/>
      <w:sz w:val="32"/>
      <w:szCs w:val="20"/>
    </w:rPr>
  </w:style>
  <w:style w:type="paragraph" w:styleId="877" w:customStyle="1">
    <w:name w:val="纯文本11"/>
    <w:basedOn w:val="684"/>
    <w:uiPriority w:val="0"/>
    <w:qFormat/>
    <w:rPr>
      <w:rFonts w:ascii="宋体" w:hAnsi="Courier New"/>
      <w:szCs w:val="21"/>
      <w:lang w:val="zh-CN"/>
    </w:rPr>
  </w:style>
  <w:style w:type="paragraph" w:styleId="878" w:customStyle="1">
    <w:name w:val="批注框文本1"/>
    <w:basedOn w:val="684"/>
    <w:link w:val="879"/>
    <w:uiPriority w:val="0"/>
    <w:qFormat/>
    <w:pPr>
      <w:spacing w:line="240" w:lineRule="auto"/>
    </w:pPr>
    <w:rPr>
      <w:sz w:val="18"/>
      <w:szCs w:val="18"/>
    </w:rPr>
  </w:style>
  <w:style w:type="character" w:styleId="879" w:customStyle="1">
    <w:name w:val="批注框文本 Char"/>
    <w:link w:val="878"/>
    <w:uiPriority w:val="0"/>
    <w:qFormat/>
    <w:rPr>
      <w:sz w:val="18"/>
      <w:szCs w:val="18"/>
    </w:rPr>
  </w:style>
  <w:style w:type="paragraph" w:styleId="880" w:customStyle="1">
    <w:name w:val="页脚1"/>
    <w:basedOn w:val="684"/>
    <w:uiPriority w:val="0"/>
    <w:qFormat/>
    <w:pPr>
      <w:jc w:val="left"/>
      <w:tabs>
        <w:tab w:val="center" w:pos="4153" w:leader="none"/>
        <w:tab w:val="right" w:pos="8306" w:leader="none"/>
      </w:tabs>
    </w:pPr>
    <w:rPr>
      <w:sz w:val="18"/>
      <w:szCs w:val="20"/>
    </w:rPr>
  </w:style>
  <w:style w:type="paragraph" w:styleId="881" w:customStyle="1">
    <w:name w:val="页眉1"/>
    <w:basedOn w:val="684"/>
    <w:uiPriority w:val="0"/>
    <w:qFormat/>
    <w:pPr>
      <w:jc w:val="center"/>
      <w:tabs>
        <w:tab w:val="center" w:pos="4153" w:leader="none"/>
        <w:tab w:val="right" w:pos="8306" w:leader="none"/>
      </w:tabs>
      <w:pBdr>
        <w:bottom w:val="single" w:color="000000" w:sz="6" w:space="1"/>
      </w:pBdr>
    </w:pPr>
    <w:rPr>
      <w:sz w:val="18"/>
      <w:szCs w:val="18"/>
    </w:rPr>
  </w:style>
  <w:style w:type="paragraph" w:styleId="882" w:customStyle="1">
    <w:name w:val="副标题1"/>
    <w:basedOn w:val="684"/>
    <w:next w:val="684"/>
    <w:uiPriority w:val="0"/>
    <w:qFormat/>
    <w:pPr>
      <w:jc w:val="center"/>
      <w:spacing w:before="240" w:after="60" w:line="312" w:lineRule="auto"/>
      <w:outlineLvl w:val="1"/>
    </w:pPr>
    <w:rPr>
      <w:rFonts w:ascii="Cambria" w:hAnsi="Cambria"/>
      <w:b/>
      <w:sz w:val="32"/>
    </w:rPr>
  </w:style>
  <w:style w:type="paragraph" w:styleId="883" w:customStyle="1">
    <w:name w:val="普通(网站)1"/>
    <w:basedOn w:val="684"/>
    <w:uiPriority w:val="0"/>
    <w:qFormat/>
    <w:pPr>
      <w:jc w:val="left"/>
      <w:spacing w:before="100" w:beforeAutospacing="1" w:after="100" w:afterAutospacing="1"/>
      <w:widowControl/>
    </w:pPr>
    <w:rPr>
      <w:rFonts w:ascii="宋体" w:hAnsi="宋体" w:cs="宋体"/>
      <w:sz w:val="24"/>
    </w:rPr>
  </w:style>
  <w:style w:type="paragraph" w:styleId="884" w:customStyle="1">
    <w:name w:val="正文首行缩进1"/>
    <w:basedOn w:val="875"/>
    <w:uiPriority w:val="0"/>
    <w:qFormat/>
    <w:pPr>
      <w:ind w:firstLine="420"/>
      <w:spacing w:after="120"/>
    </w:pPr>
    <w:rPr>
      <w:szCs w:val="24"/>
    </w:rPr>
  </w:style>
  <w:style w:type="paragraph" w:styleId="885" w:customStyle="1">
    <w:name w:val="正文首行缩进 21"/>
    <w:basedOn w:val="876"/>
    <w:uiPriority w:val="0"/>
    <w:semiHidden/>
    <w:qFormat/>
    <w:pPr>
      <w:ind w:firstLine="420"/>
    </w:pPr>
  </w:style>
  <w:style w:type="table" w:styleId="886" w:customStyle="1">
    <w:name w:val="网格型1"/>
    <w:basedOn w:val="873"/>
    <w:uiPriority w:val="0"/>
    <w:qFormat/>
    <w:pPr>
      <w:jc w:val="both"/>
      <w:widowControl w:val="off"/>
    </w:pPr>
    <w:rPr>
      <w:lang w:val="en-US" w:eastAsia="zh-CN" w:bidi="ar-SA"/>
    </w:rPr>
    <w:tblPr/>
  </w:style>
  <w:style w:type="character" w:styleId="887" w:customStyle="1">
    <w:name w:val="页码1"/>
    <w:link w:val="684"/>
    <w:uiPriority w:val="0"/>
    <w:qFormat/>
    <w:rPr>
      <w:rFonts w:ascii="Times New Roman" w:hAnsi="Times New Roman" w:eastAsia="宋体"/>
    </w:rPr>
  </w:style>
  <w:style w:type="paragraph" w:styleId="888" w:customStyle="1">
    <w:name w:val="段"/>
    <w:next w:val="684"/>
    <w:uiPriority w:val="0"/>
    <w:qFormat/>
    <w:pPr>
      <w:ind w:firstLine="200"/>
      <w:jc w:val="both"/>
    </w:pPr>
    <w:rPr>
      <w:rFonts w:hint="default" w:ascii="宋体" w:hAnsi="Times New Roman" w:eastAsia="宋体" w:cs="Times New Roman"/>
      <w:sz w:val="21"/>
      <w:lang w:val="en-US" w:eastAsia="zh-CN" w:bidi="ar-SA"/>
    </w:rPr>
  </w:style>
  <w:style w:type="paragraph" w:styleId="889" w:customStyle="1">
    <w:name w:val="正文11"/>
    <w:next w:val="8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0" w:customStyle="1">
    <w:name w:val="Default"/>
    <w:basedOn w:val="684"/>
    <w:uiPriority w:val="0"/>
    <w:qFormat/>
    <w:pPr>
      <w:jc w:val="left"/>
    </w:pPr>
    <w:rPr>
      <w:rFonts w:ascii="仿宋" w:hAnsi="仿宋" w:eastAsia="仿宋" w:cs="宋体"/>
      <w:color w:val="000000"/>
      <w:sz w:val="24"/>
    </w:rPr>
  </w:style>
  <w:style w:type="paragraph" w:styleId="891" w:customStyle="1">
    <w:name w:val="TOC 71"/>
    <w:basedOn w:val="684"/>
    <w:next w:val="684"/>
    <w:uiPriority w:val="0"/>
    <w:qFormat/>
    <w:pPr>
      <w:ind w:left="2550"/>
      <w:spacing w:before="100" w:beforeAutospacing="1" w:after="100" w:afterAutospacing="1"/>
      <w:widowControl/>
    </w:pPr>
    <w:rPr>
      <w:szCs w:val="21"/>
    </w:rPr>
  </w:style>
  <w:style w:type="paragraph" w:styleId="892" w:customStyle="1">
    <w:name w:val="普通正文"/>
    <w:basedOn w:val="684"/>
    <w:uiPriority w:val="0"/>
    <w:qFormat/>
    <w:pPr>
      <w:ind w:firstLine="480"/>
      <w:jc w:val="left"/>
      <w:spacing w:before="120" w:after="120" w:line="360" w:lineRule="auto"/>
    </w:pPr>
    <w:rPr>
      <w:rFonts w:ascii="Arial" w:hAnsi="Arial"/>
      <w:sz w:val="24"/>
    </w:rPr>
  </w:style>
  <w:style w:type="paragraph" w:styleId="893" w:customStyle="1">
    <w:name w:val="WPSOffice手动目录 1"/>
    <w:uiPriority w:val="0"/>
    <w:qFormat/>
    <w:rPr>
      <w:rFonts w:hint="default" w:ascii="Times New Roman" w:hAnsi="Times New Roman" w:eastAsia="宋体" w:cs="Times New Roman"/>
      <w:lang w:val="en-US" w:eastAsia="zh-CN" w:bidi="ar-SA"/>
    </w:rPr>
  </w:style>
  <w:style w:type="paragraph" w:styleId="894" w:customStyle="1">
    <w:name w:val="List Paragraph1"/>
    <w:basedOn w:val="684"/>
    <w:uiPriority w:val="0"/>
    <w:qFormat/>
    <w:pPr>
      <w:ind w:firstLine="420"/>
    </w:pPr>
    <w:rPr>
      <w:szCs w:val="22"/>
    </w:rPr>
  </w:style>
  <w:style w:type="paragraph" w:styleId="895" w:customStyle="1">
    <w:name w:val="_Style 21"/>
    <w:basedOn w:val="684"/>
    <w:next w:val="894"/>
    <w:uiPriority w:val="0"/>
    <w:qFormat/>
    <w:pPr>
      <w:ind w:left="890" w:firstLine="420"/>
      <w:jc w:val="left"/>
    </w:pPr>
    <w:rPr>
      <w:rFonts w:ascii="Calibri" w:hAnsi="Calibri"/>
      <w:szCs w:val="22"/>
    </w:rPr>
  </w:style>
  <w:style w:type="paragraph" w:styleId="896" w:customStyle="1">
    <w:name w:val="列出段落1"/>
    <w:basedOn w:val="684"/>
    <w:uiPriority w:val="0"/>
    <w:qFormat/>
    <w:pPr>
      <w:ind w:firstLine="420"/>
    </w:pPr>
    <w:rPr>
      <w:rFonts w:ascii="Calibri" w:hAnsi="Calibri"/>
      <w:szCs w:val="22"/>
    </w:rPr>
  </w:style>
  <w:style w:type="paragraph" w:styleId="897" w:customStyle="1">
    <w:name w:val="正文空2格  1."/>
    <w:basedOn w:val="684"/>
    <w:uiPriority w:val="0"/>
    <w:qFormat/>
    <w:pPr>
      <w:ind w:firstLine="480"/>
    </w:pPr>
    <w:rPr>
      <w:rFonts w:cs="宋体"/>
      <w:sz w:val="28"/>
      <w:szCs w:val="20"/>
    </w:rPr>
  </w:style>
  <w:style w:type="paragraph" w:styleId="898" w:customStyle="1">
    <w:name w:val="_Style 1"/>
    <w:uiPriority w:val="0"/>
    <w:qFormat/>
    <w:rPr>
      <w:rFonts w:hint="default" w:ascii="Tahoma" w:hAnsi="Tahoma" w:eastAsia="宋体" w:cs="Times New Roman"/>
      <w:sz w:val="22"/>
      <w:szCs w:val="22"/>
      <w:lang w:val="en-US" w:eastAsia="zh-CN" w:bidi="ar-SA"/>
    </w:rPr>
  </w:style>
  <w:style w:type="paragraph" w:styleId="899" w:customStyle="1">
    <w:name w:val="注释标题1"/>
    <w:basedOn w:val="684"/>
    <w:next w:val="684"/>
    <w:uiPriority w:val="0"/>
    <w:qFormat/>
    <w:rPr>
      <w:rFonts w:ascii="Verdana" w:hAnsi="Verdana"/>
      <w:szCs w:val="20"/>
    </w:rPr>
  </w:style>
  <w:style w:type="paragraph" w:styleId="900" w:customStyle="1">
    <w:name w:val="纯文本1"/>
    <w:basedOn w:val="684"/>
    <w:uiPriority w:val="0"/>
    <w:qFormat/>
    <w:rPr>
      <w:rFonts w:ascii="宋体" w:hAnsi="Courier New" w:eastAsia="楷体_GB2312" w:cs="宋体"/>
      <w:sz w:val="28"/>
      <w:szCs w:val="21"/>
    </w:rPr>
  </w:style>
  <w:style w:type="paragraph" w:styleId="901"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902" w:customStyle="1">
    <w:name w:val="目录 11"/>
    <w:basedOn w:val="889"/>
    <w:next w:val="889"/>
    <w:uiPriority w:val="0"/>
    <w:qFormat/>
    <w:pPr>
      <w:jc w:val="left"/>
      <w:spacing w:after="100" w:line="276" w:lineRule="auto"/>
      <w:widowControl/>
      <w:tabs>
        <w:tab w:val="left" w:pos="142" w:leader="none"/>
        <w:tab w:val="right" w:pos="9617" w:leader="dot"/>
      </w:tabs>
    </w:pPr>
    <w:rPr>
      <w:rFonts w:eastAsia="黑体"/>
      <w:sz w:val="24"/>
      <w:szCs w:val="22"/>
    </w:rPr>
  </w:style>
  <w:style w:type="paragraph" w:styleId="903" w:customStyle="1">
    <w:name w:val="Char"/>
    <w:basedOn w:val="684"/>
    <w:uiPriority w:val="0"/>
    <w:qFormat/>
    <w:pPr>
      <w:tabs>
        <w:tab w:val="left" w:pos="360" w:leader="none"/>
      </w:tabs>
    </w:pPr>
    <w:rPr>
      <w:sz w:val="24"/>
    </w:rPr>
  </w:style>
  <w:style w:type="character" w:styleId="904" w:customStyle="1">
    <w:name w:val="font21"/>
    <w:link w:val="684"/>
    <w:uiPriority w:val="0"/>
    <w:qFormat/>
    <w:rPr>
      <w:rFonts w:hint="eastAsia" w:ascii="宋体" w:hAnsi="宋体" w:eastAsia="宋体" w:cs="宋体"/>
      <w:color w:val="ff0000"/>
      <w:sz w:val="22"/>
      <w:szCs w:val="22"/>
      <w:u w:val="none"/>
    </w:rPr>
  </w:style>
  <w:style w:type="paragraph" w:styleId="905" w:customStyle="1">
    <w:name w:val="列出段落"/>
    <w:basedOn w:val="684"/>
    <w:uiPriority w:val="34"/>
    <w:qFormat/>
    <w:pPr>
      <w:ind w:firstLine="420"/>
    </w:pPr>
    <w:rPr>
      <w:szCs w:val="24"/>
    </w:rPr>
  </w:style>
  <w:style w:type="table" w:styleId="906" w:customStyle="1">
    <w:name w:val="Table Normal"/>
    <w:uiPriority w:val="0"/>
    <w:unhideWhenUsed/>
    <w:qFormat/>
    <w:rPr>
      <w:lang w:val="en-US" w:eastAsia="zh-CN" w:bidi="ar-SA"/>
    </w:rPr>
    <w:tblPr/>
  </w:style>
  <w:style w:type="paragraph" w:styleId="907" w:customStyle="1">
    <w:name w:val="Table Text"/>
    <w:basedOn w:val="684"/>
    <w:uiPriority w:val="0"/>
    <w:semiHidden/>
    <w:qFormat/>
    <w:rPr>
      <w:rFonts w:ascii="Arial" w:hAnsi="Arial" w:eastAsia="Arial" w:cs="Arial"/>
      <w:sz w:val="21"/>
      <w:szCs w:val="21"/>
      <w:lang w:val="en-US" w:eastAsia="en-US" w:bidi="ar-SA"/>
    </w:rPr>
  </w:style>
  <w:style w:type="paragraph" w:styleId="908" w:customStyle="1">
    <w:name w:val="DAS正文"/>
    <w:basedOn w:val="684"/>
    <w:uiPriority w:val="0"/>
    <w:qFormat/>
    <w:pPr>
      <w:ind w:right="181" w:firstLine="480"/>
      <w:spacing w:line="360" w:lineRule="auto"/>
    </w:pPr>
    <w:rPr>
      <w:rFonts w:ascii="Verdana" w:hAnsi="Verdana" w:cs="Times New Roman"/>
      <w:szCs w:val="24"/>
    </w:rPr>
  </w:style>
  <w:style w:type="character" w:styleId="909" w:customStyle="1">
    <w:name w:val="apple-style-span"/>
    <w:basedOn w:val="694"/>
    <w:uiPriority w:val="0"/>
    <w:qFormat/>
  </w:style>
  <w:style w:type="character" w:styleId="910" w:customStyle="1">
    <w:name w:val="font41"/>
    <w:basedOn w:val="694"/>
    <w:uiPriority w:val="0"/>
    <w:qFormat/>
    <w:rPr>
      <w:rFonts w:hint="default" w:ascii="方正黑体_GBK" w:hAnsi="方正黑体_GBK" w:eastAsia="方正黑体_GBK" w:cs="方正黑体_GBK"/>
      <w:color w:val="000000"/>
      <w:sz w:val="24"/>
      <w:szCs w:val="24"/>
      <w:u w:val="none"/>
    </w:rPr>
  </w:style>
  <w:style w:type="character" w:styleId="911" w:customStyle="1">
    <w:name w:val="font71"/>
    <w:basedOn w:val="694"/>
    <w:uiPriority w:val="0"/>
    <w:qFormat/>
    <w:rPr>
      <w:rFonts w:hint="default" w:ascii="方正黑体_GBK" w:hAnsi="方正黑体_GBK" w:eastAsia="方正黑体_GBK" w:cs="方正黑体_GBK"/>
      <w:color w:val="000000"/>
      <w:sz w:val="22"/>
      <w:szCs w:val="22"/>
      <w:u w:val="none"/>
    </w:rPr>
  </w:style>
  <w:style w:type="character" w:styleId="912" w:customStyle="1">
    <w:name w:val="font51"/>
    <w:basedOn w:val="694"/>
    <w:uiPriority w:val="0"/>
    <w:qFormat/>
    <w:rPr>
      <w:rFonts w:hint="eastAsia" w:ascii="宋体" w:hAnsi="宋体" w:eastAsia="宋体" w:cs="宋体"/>
      <w:color w:val="000000"/>
      <w:sz w:val="24"/>
      <w:szCs w:val="24"/>
      <w:u w:val="none"/>
    </w:rPr>
  </w:style>
  <w:style w:type="character" w:styleId="913" w:customStyle="1">
    <w:name w:val="font81"/>
    <w:basedOn w:val="694"/>
    <w:uiPriority w:val="0"/>
    <w:qFormat/>
    <w:rPr>
      <w:rFonts w:hint="eastAsia" w:ascii="宋体" w:hAnsi="宋体" w:eastAsia="宋体" w:cs="宋体"/>
      <w:color w:val="000000"/>
      <w:sz w:val="20"/>
      <w:szCs w:val="20"/>
      <w:u w:val="none"/>
    </w:rPr>
  </w:style>
  <w:style w:type="character" w:styleId="914" w:customStyle="1">
    <w:name w:val="font61"/>
    <w:basedOn w:val="694"/>
    <w:uiPriority w:val="0"/>
    <w:qFormat/>
    <w:rPr>
      <w:rFonts w:hint="eastAsia" w:ascii="宋体" w:hAnsi="宋体" w:eastAsia="宋体" w:cs="宋体"/>
      <w:color w:val="000000"/>
      <w:sz w:val="20"/>
      <w:szCs w:val="20"/>
      <w:u w:val="none"/>
    </w:rPr>
  </w:style>
  <w:style w:type="character" w:styleId="915" w:customStyle="1">
    <w:name w:val="font01"/>
    <w:basedOn w:val="694"/>
    <w:uiPriority w:val="0"/>
    <w:qFormat/>
    <w:rPr>
      <w:rFonts w:hint="eastAsia" w:ascii="宋体" w:hAnsi="宋体" w:eastAsia="宋体" w:cs="宋体"/>
      <w:color w:val="000000"/>
      <w:sz w:val="22"/>
      <w:szCs w:val="22"/>
      <w:u w:val="none"/>
    </w:rPr>
  </w:style>
  <w:style w:type="paragraph" w:styleId="916" w:customStyle="1">
    <w:name w:val=" Char"/>
    <w:basedOn w:val="684"/>
    <w:uiPriority w:val="0"/>
    <w:qFormat/>
    <w:rPr>
      <w:szCs w:val="20"/>
    </w:rPr>
  </w:style>
  <w:style w:type="paragraph" w:styleId="917" w:customStyle="1">
    <w:name w:val="目录 111"/>
    <w:basedOn w:val="684"/>
    <w:next w:val="684"/>
    <w:uiPriority w:val="39"/>
    <w:qFormat/>
  </w:style>
  <w:style w:type="numbering" w:styleId="120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f155ef99-6155-4e29-960e-fe4d743857ab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2F104405</paraID>
      <start xmlns="http://schemas.wps.cn/vas-ai-hub/contract-review">17</start>
      <end xmlns="http://schemas.wps.cn/vas-ai-hub/contract-review">18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92bdb74b-d774-4dad-994d-fe300c8a7ace</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2F104405</paraID>
      <start xmlns="http://schemas.wps.cn/vas-ai-hub/contract-review">28</start>
      <end xmlns="http://schemas.wps.cn/vas-ai-hub/contract-review">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80ad8d26-b8ff-4f69-8c4b-82dcc4d8e0df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1EFCDE37</paraID>
      <start xmlns="http://schemas.wps.cn/vas-ai-hub/contract-review">128</start>
      <end xmlns="http://schemas.wps.cn/vas-ai-hub/contract-review">129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48ea6112-1d9e-4f55-aca3-5f67d5cfa072</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1EFCDE37</paraID>
      <start xmlns="http://schemas.wps.cn/vas-ai-hub/contract-review">147</start>
      <end xmlns="http://schemas.wps.cn/vas-ai-hub/contract-review">148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be07dac1-0ac7-4db9-9f68-8e88fa5aa2a8</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1EFCDE37</paraID>
      <start xmlns="http://schemas.wps.cn/vas-ai-hub/contract-review">188</start>
      <end xmlns="http://schemas.wps.cn/vas-ai-hub/contract-review">189</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ea75b3ad-41f3-47db-90ac-4a0993b55624</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1EFCDE37</paraID>
      <start xmlns="http://schemas.wps.cn/vas-ai-hub/contract-review">199</start>
      <end xmlns="http://schemas.wps.cn/vas-ai-hub/contract-review">200</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acf732b8-d225-41b7-b456-a7fbc7c81f80</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，可</item>
      </candidateList>
      <explain xmlns="http://schemas.wps.cn/vas-ai-hub/contract-review"/>
      <paraID xmlns="http://schemas.wps.cn/vas-ai-hub/contract-review">60522E69</paraID>
      <start xmlns="http://schemas.wps.cn/vas-ai-hub/contract-review">25</start>
      <end xmlns="http://schemas.wps.cn/vas-ai-hub/contract-review">26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3fc54707-91e2-42f0-9e05-0dbceece7176</errorID>
      <errorWord xmlns="http://schemas.wps.cn/vas-ai-hub/contract-review">作</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做</item>
      </candidateList>
      <explain xmlns="http://schemas.wps.cn/vas-ai-hub/contract-review">存在发音相同字词的误用。</explain>
      <paraID xmlns="http://schemas.wps.cn/vas-ai-hub/contract-review">2CAD2AE7</paraID>
      <start xmlns="http://schemas.wps.cn/vas-ai-hub/contract-review">67</start>
      <end xmlns="http://schemas.wps.cn/vas-ai-hub/contract-review">68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82166da0-302f-422d-b375-398c61503d8d</errorID>
      <errorWord xmlns="http://schemas.wps.cn/vas-ai-hub/contract-review">保持通讯畅通</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保持通信畅通</item>
      </candidateList>
      <explain xmlns="http://schemas.wps.cn/vas-ai-hub/contract-review"/>
      <paraID xmlns="http://schemas.wps.cn/vas-ai-hub/contract-review">390A0C66</paraID>
      <start xmlns="http://schemas.wps.cn/vas-ai-hub/contract-review">16</start>
      <end xmlns="http://schemas.wps.cn/vas-ai-hub/contract-review">22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98065e25-fd90-432b-9da5-aabef31032ff</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此处标点可能未正确匹配，请检查句子中是否存在标点冗余、缺失或使用错误的情况。</explain>
      <paraID xmlns="http://schemas.wps.cn/vas-ai-hub/contract-review"> 221CA72</paraID>
      <start xmlns="http://schemas.wps.cn/vas-ai-hub/contract-review">77</start>
      <end xmlns="http://schemas.wps.cn/vas-ai-hub/contract-review">78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d8ec752c-532b-4ba3-bfa4-1bebdc112d7d</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591FCC73</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187b423e-6c10-457b-a349-30a211caf54a</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312F927B</paraID>
      <start xmlns="http://schemas.wps.cn/vas-ai-hub/contract-review">50</start>
      <end xmlns="http://schemas.wps.cn/vas-ai-hub/contract-review">51</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57e035e6-9d1f-4f9b-9486-c59aca0b9c7c</errorID>
      <errorWord xmlns="http://schemas.wps.cn/vas-ai-hub/contract-review">&lt;</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3FCCCE4</paraID>
      <start xmlns="http://schemas.wps.cn/vas-ai-hub/contract-review">35</start>
      <end xmlns="http://schemas.wps.cn/vas-ai-hub/contract-review">36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bc0d1b86-fab0-410b-adcf-e9b8b5e44cfb</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521007CF</paraID>
      <start xmlns="http://schemas.wps.cn/vas-ai-hub/contract-review">4</start>
      <end xmlns="http://schemas.wps.cn/vas-ai-hub/contract-review">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92d65862-c81f-4e30-8508-217cd33a2737</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49F66998</paraID>
      <start xmlns="http://schemas.wps.cn/vas-ai-hub/contract-review">5</start>
      <end xmlns="http://schemas.wps.cn/vas-ai-hub/contract-review">7</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99e6581b-b1da-4921-8f68-2ce8e73a953d</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132C3C5</paraID>
      <start xmlns="http://schemas.wps.cn/vas-ai-hub/contract-review">24</start>
      <end xmlns="http://schemas.wps.cn/vas-ai-hub/contract-review">25</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0339c7d1-2c3e-48cc-be3e-db22a77c195b</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5927C582</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85211a63-b7da-4d58-83e8-e880fab72e87</errorID>
      <errorWord xmlns="http://schemas.wps.cn/vas-ai-hub/contract-review">）</errorWord>
      <group xmlns="http://schemas.wps.cn/vas-ai-hub/contract-review">L1_Punc</group>
      <groupName xmlns="http://schemas.wps.cn/vas-ai-hub/contract-review">标点问题</groupName>
      <ability xmlns="http://schemas.wps.cn/vas-ai-hub/contract-review">L2_Punc</ability>
      <abilityName xmlns="http://schemas.wps.cn/vas-ai-hub/contract-review">标点符号检查</abilityName>
      <candidateList xmlns="http://schemas.wps.cn/vas-ai-hub/contract-review"/>
      <explain xmlns="http://schemas.wps.cn/vas-ai-hub/contract-review">同一形式括号套用。</explain>
      <paraID xmlns="http://schemas.wps.cn/vas-ai-hub/contract-review">5927C582</paraID>
      <start xmlns="http://schemas.wps.cn/vas-ai-hub/contract-review">53</start>
      <end xmlns="http://schemas.wps.cn/vas-ai-hub/contract-review">54</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5890a558-57ac-4c0b-9071-3973fd077cea</errorID>
      <errorWord xmlns="http://schemas.wps.cn/vas-ai-hub/contract-review">存大</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存在</item>
      </candidateList>
      <explain xmlns="http://schemas.wps.cn/vas-ai-hub/contract-review"/>
      <paraID xmlns="http://schemas.wps.cn/vas-ai-hub/contract-review">78AB73D8</paraID>
      <start xmlns="http://schemas.wps.cn/vas-ai-hub/contract-review">59</start>
      <end xmlns="http://schemas.wps.cn/vas-ai-hub/contract-review">61</end>
      <status xmlns="http://schemas.wps.cn/vas-ai-hub/contract-review">modified</status>
      <modifiedWord xmlns="http://schemas.wps.cn/vas-ai-hub/contract-review">存在</modifiedWord>
      <trackRevisions xmlns="http://schemas.wps.cn/vas-ai-hub/contract-review">false</trackRevisions>
    </reviewItem>
    <reviewItem xmlns="http://schemas.wps.cn/vas-ai-hub/contract-review">
      <errorID xmlns="http://schemas.wps.cn/vas-ai-hub/contract-review">2cbae961-5831-45a2-a2aa-bdbbcee2847d</errorID>
      <errorWord xmlns="http://schemas.wps.cn/vas-ai-hub/contract-review">存大</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存在</item>
      </candidateList>
      <explain xmlns="http://schemas.wps.cn/vas-ai-hub/contract-review"/>
      <paraID xmlns="http://schemas.wps.cn/vas-ai-hub/contract-review">718215A0</paraID>
      <start xmlns="http://schemas.wps.cn/vas-ai-hub/contract-review">59</start>
      <end xmlns="http://schemas.wps.cn/vas-ai-hub/contract-review">61</end>
      <status xmlns="http://schemas.wps.cn/vas-ai-hub/contract-review">modified</status>
      <modifiedWord xmlns="http://schemas.wps.cn/vas-ai-hub/contract-review">存在</modifiedWord>
      <trackRevisions xmlns="http://schemas.wps.cn/vas-ai-hub/contract-review">false</trackRevisions>
    </reviewItem>
    <reviewItem xmlns="http://schemas.wps.cn/vas-ai-hub/contract-review">
      <errorID xmlns="http://schemas.wps.cn/vas-ai-hub/contract-review">3eb83a0d-657e-4e28-9095-c105d46240e1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437B4255</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07ea53ec-eaee-4086-a1d3-d4ba24cc642b</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7CC5743</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85b9eee5-9832-4f6a-ba5e-5c0b86741f76</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DED1CE3</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cbeb7535-f1af-4ea2-a6f5-fe843f56e106</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35051817</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109f73bd-83af-43e9-a933-6e292ff3af8a</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35051817</paraID>
      <start xmlns="http://schemas.wps.cn/vas-ai-hub/contract-review">37</start>
      <end xmlns="http://schemas.wps.cn/vas-ai-hub/contract-review">38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710b0989-739f-4579-a464-dae479c528e9</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58B978F1</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7bc2b9b5-4213-4ffc-84d3-16e78cdcba59</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6671430B</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51103c4d-7af4-4864-8ba9-5b1806cb2f3e</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18780033</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abe14eca-f2bf-43b5-bfd7-c25313219781</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D0CF7EF</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165521c8-2802-4741-987e-7ea9880352db</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D0CF7EF</paraID>
      <start xmlns="http://schemas.wps.cn/vas-ai-hub/contract-review">63</start>
      <end xmlns="http://schemas.wps.cn/vas-ai-hub/contract-review">64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a1ed963d-a07d-4f87-93e2-f3b809b24c9f</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 D0CF7EF</paraID>
      <start xmlns="http://schemas.wps.cn/vas-ai-hub/contract-review">68</start>
      <end xmlns="http://schemas.wps.cn/vas-ai-hub/contract-review">69</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aabd3639-bc73-40f0-a5a3-76f5084245c7</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5460B6E7</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c3eaedaa-3fed-4594-b817-2e7240e948ea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6E46F95</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588cb9b3-5bdb-422d-974a-981a2425b6f2</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4B4F2568</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fad8f19c-6f95-4d04-95cd-b2ac44a3c510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5FF1329F</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2c593053-51b4-43e5-a55d-c72b5aa57c2a</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5984527E</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32cf514c-d08a-4cfa-abb5-a2da765c2177</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7940A1A0</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2a9ff7e0-d295-46f7-a987-aea1260023f9</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4767FB9F</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78562a60-e44d-49d7-b7ff-c4e1c6ca7509</errorID>
      <errorWord xmlns="http://schemas.wps.cn/vas-ai-hub/contract-review">7、</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7.</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7355F29</paraID>
      <start xmlns="http://schemas.wps.cn/vas-ai-hub/contract-review">0</start>
      <end xmlns="http://schemas.wps.cn/vas-ai-hub/contract-review">2</end>
      <status xmlns="http://schemas.wps.cn/vas-ai-hub/contract-review">modified</status>
      <modifiedWord xmlns="http://schemas.wps.cn/vas-ai-hub/contract-review">7.</modifiedWord>
      <trackRevisions xmlns="http://schemas.wps.cn/vas-ai-hub/contract-review">false</trackRevisions>
    </reviewItem>
    <reviewItem xmlns="http://schemas.wps.cn/vas-ai-hub/contract-review">
      <errorID xmlns="http://schemas.wps.cn/vas-ai-hub/contract-review">cb8615e7-e8ac-4b58-8475-30344279a701</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5852B124</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32692abd-95b6-4724-b267-97ad4fa40c88</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41BE3285</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b61eda73-cf51-49d3-a586-028ef9d9774b</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3920AF31</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cacb6831-ad7b-443a-984e-cfefba50f6b5</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1594E103</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f97d2383-44bf-450e-b70c-153afe01df49</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D433F40</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b70979ec-d9e2-4a6a-80bb-c0d1b3877a9b</errorID>
      <errorWord xmlns="http://schemas.wps.cn/vas-ai-hub/contract-review">6、</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6.</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2D62B320</paraID>
      <start xmlns="http://schemas.wps.cn/vas-ai-hub/contract-review">0</start>
      <end xmlns="http://schemas.wps.cn/vas-ai-hub/contract-review">2</end>
      <status xmlns="http://schemas.wps.cn/vas-ai-hub/contract-review">modified</status>
      <modifiedWord xmlns="http://schemas.wps.cn/vas-ai-hub/contract-review">6.</modifiedWord>
      <trackRevisions xmlns="http://schemas.wps.cn/vas-ai-hub/contract-review">false</trackRevisions>
    </reviewItem>
    <reviewItem xmlns="http://schemas.wps.cn/vas-ai-hub/contract-review">
      <errorID xmlns="http://schemas.wps.cn/vas-ai-hub/contract-review">8db79a17-66de-4692-ad6b-55fb6a8ad49f</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62D193AF</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fe52d10a-13f5-4896-b248-159af815f73c</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505080BE</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04272e1e-bb07-4f39-9477-6f9150f329e0</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3B88E71C</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3bff0b37-5521-441e-a4a9-0255781278e3</errorID>
      <errorWord xmlns="http://schemas.wps.cn/vas-ai-hub/contract-review">4、</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4.</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704D0B2</paraID>
      <start xmlns="http://schemas.wps.cn/vas-ai-hub/contract-review">0</start>
      <end xmlns="http://schemas.wps.cn/vas-ai-hub/contract-review">2</end>
      <status xmlns="http://schemas.wps.cn/vas-ai-hub/contract-review">modified</status>
      <modifiedWord xmlns="http://schemas.wps.cn/vas-ai-hub/contract-review">4.</modifiedWord>
      <trackRevisions xmlns="http://schemas.wps.cn/vas-ai-hub/contract-review">false</trackRevisions>
    </reviewItem>
    <reviewItem xmlns="http://schemas.wps.cn/vas-ai-hub/contract-review">
      <errorID xmlns="http://schemas.wps.cn/vas-ai-hub/contract-review">78e16ecf-1db9-43a8-a492-2728901254f6</errorID>
      <errorWord xmlns="http://schemas.wps.cn/vas-ai-hub/contract-review">5、</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5.</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562172F7</paraID>
      <start xmlns="http://schemas.wps.cn/vas-ai-hub/contract-review">0</start>
      <end xmlns="http://schemas.wps.cn/vas-ai-hub/contract-review">2</end>
      <status xmlns="http://schemas.wps.cn/vas-ai-hub/contract-review">modified</status>
      <modifiedWord xmlns="http://schemas.wps.cn/vas-ai-hub/contract-review">5.</modifiedWord>
      <trackRevisions xmlns="http://schemas.wps.cn/vas-ai-hub/contract-review">false</trackRevisions>
    </reviewItem>
    <reviewItem xmlns="http://schemas.wps.cn/vas-ai-hub/contract-review">
      <errorID xmlns="http://schemas.wps.cn/vas-ai-hub/contract-review">eb577e03-08c0-4a5b-8a17-87f146f5f63f</errorID>
      <errorWord xmlns="http://schemas.wps.cn/vas-ai-hub/contract-review">其它</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其他</item>
      </candidateList>
      <explain xmlns="http://schemas.wps.cn/vas-ai-hub/contract-review">词汇[其它]为不规范表述或旧称，其规范书面表述为[其他]。</explain>
      <paraID xmlns="http://schemas.wps.cn/vas-ai-hub/contract-review">78B92587</paraID>
      <start xmlns="http://schemas.wps.cn/vas-ai-hub/contract-review">0</start>
      <end xmlns="http://schemas.wps.cn/vas-ai-hub/contract-review">2</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44801369-1261-4e95-b4c3-f5ae101c46ea</errorID>
      <errorWord xmlns="http://schemas.wps.cn/vas-ai-hub/contract-review">1、</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1.</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 8866833</paraID>
      <start xmlns="http://schemas.wps.cn/vas-ai-hub/contract-review">0</start>
      <end xmlns="http://schemas.wps.cn/vas-ai-hub/contract-review">2</end>
      <status xmlns="http://schemas.wps.cn/vas-ai-hub/contract-review">modified</status>
      <modifiedWord xmlns="http://schemas.wps.cn/vas-ai-hub/contract-review">1.</modifiedWord>
      <trackRevisions xmlns="http://schemas.wps.cn/vas-ai-hub/contract-review">false</trackRevisions>
    </reviewItem>
    <reviewItem xmlns="http://schemas.wps.cn/vas-ai-hub/contract-review">
      <errorID xmlns="http://schemas.wps.cn/vas-ai-hub/contract-review">029a0a3e-48b8-49af-9036-6febb7ff3573</errorID>
      <errorWord xmlns="http://schemas.wps.cn/vas-ai-hub/contract-review">2、</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2.</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5FFD5883</paraID>
      <start xmlns="http://schemas.wps.cn/vas-ai-hub/contract-review">0</start>
      <end xmlns="http://schemas.wps.cn/vas-ai-hub/contract-review">2</end>
      <status xmlns="http://schemas.wps.cn/vas-ai-hub/contract-review">modified</status>
      <modifiedWord xmlns="http://schemas.wps.cn/vas-ai-hub/contract-review">2.</modifiedWord>
      <trackRevisions xmlns="http://schemas.wps.cn/vas-ai-hub/contract-review">false</trackRevisions>
    </reviewItem>
    <reviewItem xmlns="http://schemas.wps.cn/vas-ai-hub/contract-review">
      <errorID xmlns="http://schemas.wps.cn/vas-ai-hub/contract-review">c4e2f6a6-bdde-4958-9ec4-4cb970ff5cd4</errorID>
      <errorWord xmlns="http://schemas.wps.cn/vas-ai-hub/contract-review">,</errorWord>
      <group xmlns="http://schemas.wps.cn/vas-ai-hub/contract-review">L1_Format</group>
      <groupName xmlns="http://schemas.wps.cn/vas-ai-hub/contract-review">格式问题</groupName>
      <ability xmlns="http://schemas.wps.cn/vas-ai-hub/contract-review">L2_HalfPunc</ability>
      <abilityName xmlns="http://schemas.wps.cn/vas-ai-hub/contract-review">全半角检查</abilityName>
      <candidateList xmlns="http://schemas.wps.cn/vas-ai-hub/contract-review">
        <item xmlns="http://schemas.wps.cn/vas-ai-hub/contract-review">，</item>
      </candidateList>
      <explain xmlns="http://schemas.wps.cn/vas-ai-hub/contract-review">文本全半角错误。</explain>
      <paraID xmlns="http://schemas.wps.cn/vas-ai-hub/contract-review">5FFD5883</paraID>
      <start xmlns="http://schemas.wps.cn/vas-ai-hub/contract-review">27</start>
      <end xmlns="http://schemas.wps.cn/vas-ai-hub/contract-review">28</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a21ef0df-deb8-48a5-b30f-f72f1f6f6ffa</errorID>
      <errorWord xmlns="http://schemas.wps.cn/vas-ai-hub/contract-review">3、</errorWord>
      <group xmlns="http://schemas.wps.cn/vas-ai-hub/contract-review">L1_Format</group>
      <groupName xmlns="http://schemas.wps.cn/vas-ai-hub/contract-review">格式问题</groupName>
      <ability xmlns="http://schemas.wps.cn/vas-ai-hub/contract-review">L2_Ordinal</ability>
      <abilityName xmlns="http://schemas.wps.cn/vas-ai-hub/contract-review">序号格式</abilityName>
      <candidateList xmlns="http://schemas.wps.cn/vas-ai-hub/contract-review">
        <item xmlns="http://schemas.wps.cn/vas-ai-hub/contract-review">3.</item>
      </candidateList>
      <explain xmlns="http://schemas.wps.cn/vas-ai-hub/contract-review">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xmlns="http://schemas.wps.cn/vas-ai-hub/contract-review">43AB8A3E</paraID>
      <start xmlns="http://schemas.wps.cn/vas-ai-hub/contract-review">0</start>
      <end xmlns="http://schemas.wps.cn/vas-ai-hub/contract-review">2</end>
      <status xmlns="http://schemas.wps.cn/vas-ai-hub/contract-review">modified</status>
      <modifiedWord xmlns="http://schemas.wps.cn/vas-ai-hub/contract-review">3.</modifiedWord>
      <trackRevisions xmlns="http://schemas.wps.cn/vas-ai-hub/contract-review">false</trackRevisions>
    </reviewItem>
    <reviewItem xmlns="http://schemas.wps.cn/vas-ai-hub/contract-review">
      <errorID xmlns="http://schemas.wps.cn/vas-ai-hub/contract-review">b3b6f016-759c-462d-9bd8-65dd93bd9a0c</errorID>
      <errorWord xmlns="http://schemas.wps.cn/vas-ai-hub/contract-review">即</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即在</item>
      </candidateList>
      <explain xmlns="http://schemas.wps.cn/vas-ai-hub/contract-review"/>
      <paraID xmlns="http://schemas.wps.cn/vas-ai-hub/contract-review">4AFD7EEE</paraID>
      <start xmlns="http://schemas.wps.cn/vas-ai-hub/contract-review">15</start>
      <end xmlns="http://schemas.wps.cn/vas-ai-hub/contract-review">16</end>
      <status xmlns="http://schemas.wps.cn/vas-ai-hub/contract-review">unmodified</status>
      <modifiedWord xmlns="http://schemas.wps.cn/vas-ai-hub/contract-review"/>
      <trackRevisions xmlns="http://schemas.wps.cn/vas-ai-hub/contract-review">false</trackRevisions>
    </reviewItem>
    <reviewItem xmlns="http://schemas.wps.cn/vas-ai-hub/contract-review">
      <errorID xmlns="http://schemas.wps.cn/vas-ai-hub/contract-review">685bdf68-c350-4966-8f3f-59d0e6a677a7</errorID>
      <errorWord xmlns="http://schemas.wps.cn/vas-ai-hub/contract-review">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商在</item>
      </candidateList>
      <explain xmlns="http://schemas.wps.cn/vas-ai-hub/contract-review"/>
      <paraID xmlns="http://schemas.wps.cn/vas-ai-hub/contract-review">4AFD7EEE</paraID>
      <start xmlns="http://schemas.wps.cn/vas-ai-hub/contract-review">20</start>
      <end xmlns="http://schemas.wps.cn/vas-ai-hub/contract-review">22</end>
      <status xmlns="http://schemas.wps.cn/vas-ai-hub/contract-review">modified</status>
      <modifiedWord xmlns="http://schemas.wps.cn/vas-ai-hub/contract-review">商在</modifiedWord>
      <trackRevisions xmlns="http://schemas.wps.cn/vas-ai-hub/contract-review">false</trackRevisions>
    </reviewItem>
    <reviewItem xmlns="http://schemas.wps.cn/vas-ai-hub/contract-review">
      <errorID xmlns="http://schemas.wps.cn/vas-ai-hub/contract-review">6e489b07-9068-4496-8cf5-25ed39a27cf4</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间内</item>
      </candidateList>
      <explain xmlns="http://schemas.wps.cn/vas-ai-hub/contract-review"/>
      <paraID xmlns="http://schemas.wps.cn/vas-ai-hub/contract-review">1203A1AB</paraID>
      <start xmlns="http://schemas.wps.cn/vas-ai-hub/contract-review">47</start>
      <end xmlns="http://schemas.wps.cn/vas-ai-hub/contract-review">48</end>
      <status xmlns="http://schemas.wps.cn/vas-ai-hub/contract-review">unmodified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F19FE9-6766-4343-BE4C-AAE8B53FAB5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焦进芳</dc:creator>
  <cp:lastModifiedBy>周纯</cp:lastModifiedBy>
  <cp:revision>11</cp:revision>
  <dcterms:created xsi:type="dcterms:W3CDTF">2025-04-30T23:07:00Z</dcterms:created>
  <dcterms:modified xsi:type="dcterms:W3CDTF">2026-05-25T08:57:07Z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156B107FB25548C2909C63989B738B61_13</vt:lpwstr>
  </property>
  <property fmtid="{D5CDD505-2E9C-101B-9397-08002B2CF9AE}" pid="4" name="KSOTemplateDocerSaveRecord">
    <vt:lpwstr>eyJoZGlkIjoiY2I1ZWQyMDIzMmI2OGYyYzI2YTM3OTg4YjAxOTQ1MWIiLCJ1c2VySWQiOiIzMTU1ODEyOTcifQ==</vt:lpwstr>
  </property>
</Properties>
</file>